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BEC" w:rsidRPr="00A3136F" w:rsidRDefault="00437BEC" w:rsidP="00437BEC">
      <w:pPr>
        <w:spacing w:after="0" w:line="240" w:lineRule="auto"/>
        <w:jc w:val="center"/>
        <w:rPr>
          <w:rFonts w:ascii="Times New Roman" w:hAnsi="Times New Roman" w:cs="Times New Roman"/>
          <w:b/>
          <w:u w:val="single"/>
        </w:rPr>
      </w:pPr>
      <w:bookmarkStart w:id="0" w:name="_GoBack"/>
      <w:r w:rsidRPr="00A3136F">
        <w:rPr>
          <w:rFonts w:ascii="Times New Roman" w:hAnsi="Times New Roman" w:cs="Times New Roman"/>
          <w:b/>
          <w:u w:val="single"/>
        </w:rPr>
        <w:t>Bankruptcy Circuit Update</w:t>
      </w:r>
    </w:p>
    <w:p w:rsidR="00437BEC" w:rsidRPr="00A3136F" w:rsidRDefault="00437BEC" w:rsidP="00437BEC">
      <w:pPr>
        <w:spacing w:after="0" w:line="240" w:lineRule="auto"/>
        <w:jc w:val="center"/>
        <w:rPr>
          <w:rFonts w:ascii="Times New Roman" w:hAnsi="Times New Roman" w:cs="Times New Roman"/>
          <w:i/>
        </w:rPr>
      </w:pPr>
      <w:r w:rsidRPr="00A3136F">
        <w:rPr>
          <w:rFonts w:ascii="Times New Roman" w:hAnsi="Times New Roman" w:cs="Times New Roman"/>
          <w:i/>
        </w:rPr>
        <w:t>Featuring cases from April 2014</w:t>
      </w:r>
    </w:p>
    <w:p w:rsidR="00437BEC" w:rsidRPr="00A3136F" w:rsidRDefault="00437BEC" w:rsidP="00437BEC">
      <w:pPr>
        <w:spacing w:after="0" w:line="240" w:lineRule="auto"/>
        <w:rPr>
          <w:rFonts w:ascii="Times New Roman" w:hAnsi="Times New Roman" w:cs="Times New Roman"/>
        </w:rPr>
      </w:pPr>
    </w:p>
    <w:p w:rsidR="000F0624" w:rsidRPr="00A3136F" w:rsidRDefault="000F0624" w:rsidP="00437BEC">
      <w:pPr>
        <w:spacing w:after="0" w:line="240" w:lineRule="auto"/>
        <w:rPr>
          <w:rFonts w:ascii="Times New Roman" w:hAnsi="Times New Roman" w:cs="Times New Roman"/>
        </w:rPr>
      </w:pPr>
    </w:p>
    <w:p w:rsidR="001671FA" w:rsidRPr="00A3136F" w:rsidRDefault="001671FA" w:rsidP="001671FA">
      <w:pPr>
        <w:spacing w:after="0" w:line="240" w:lineRule="auto"/>
        <w:rPr>
          <w:rFonts w:ascii="Times New Roman" w:hAnsi="Times New Roman" w:cs="Times New Roman"/>
          <w:b/>
          <w:u w:val="single"/>
        </w:rPr>
      </w:pPr>
      <w:r w:rsidRPr="00A3136F">
        <w:rPr>
          <w:rFonts w:ascii="Times New Roman" w:hAnsi="Times New Roman" w:cs="Times New Roman"/>
          <w:b/>
          <w:u w:val="single"/>
        </w:rPr>
        <w:t>First Circuit</w:t>
      </w:r>
    </w:p>
    <w:p w:rsidR="001671FA" w:rsidRPr="00A3136F" w:rsidRDefault="001671FA" w:rsidP="004B2DDE">
      <w:pPr>
        <w:spacing w:after="0" w:line="240" w:lineRule="auto"/>
        <w:rPr>
          <w:rFonts w:ascii="Times New Roman" w:hAnsi="Times New Roman" w:cs="Times New Roman"/>
          <w:b/>
          <w:bCs/>
          <w:i/>
          <w:iCs/>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b/>
          <w:bCs/>
          <w:i/>
          <w:iCs/>
        </w:rPr>
        <w:t>Prudential Insurance Co. of America v. Boston Hotel Venture, LLC, et al., </w:t>
      </w:r>
      <w:r w:rsidRPr="00A3136F">
        <w:rPr>
          <w:rFonts w:ascii="Times New Roman" w:hAnsi="Times New Roman" w:cs="Times New Roman"/>
          <w:b/>
          <w:bCs/>
        </w:rPr>
        <w:t>2014 WL 1399418  (1st Cir. April 11, 2014).</w:t>
      </w:r>
    </w:p>
    <w:p w:rsidR="004B2DDE" w:rsidRPr="00A3136F" w:rsidRDefault="004B2DDE" w:rsidP="004B2DDE">
      <w:pPr>
        <w:spacing w:after="0" w:line="240" w:lineRule="auto"/>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rPr>
        <w:t>First Circuit vacated the BAP’s decision, and affirmed the bankruptcy court’s decision with respect to the timing and amount of interest to be paid the over-secured lender, which ruling affirmed the bankruptcy court's §506(b) and confirmation orders.  In so doing, the First Circuit declined to adopt a bright-line approach, and instead adopted a flexible approach with equitable considerations when determining the appropriate rate of interest to be paid to an over-secured creditor in chapter 11, and when the valuation date when determining when that interest begins to accrue.</w:t>
      </w:r>
    </w:p>
    <w:p w:rsidR="004B2DDE" w:rsidRPr="00A3136F" w:rsidRDefault="004B2DDE" w:rsidP="004B2DDE">
      <w:pPr>
        <w:spacing w:after="0" w:line="240" w:lineRule="auto"/>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Appellant Prudential was the primary secured lender for a large project in Boston, and when the Appellee borrower and its affiliates filed chapter 11 petitions, the core issue was the interest to be paid Prudential.  Prudential asserted that it was an over-secured lender entitled to post petition interest accruing from the date of petition filing at the contract/default rate of interest, and later argued such interest was also to be compounded monthly. Debtors argued for the application of the lesser, base rate of interest to accrue from the post-petition sale date of the collateral (hotel) because debtors’ post-petition efforts increased the hotel’s value to the point of being over-secured at the point of sale of the hotel. The bankruptcy court held </w:t>
      </w:r>
      <w:r w:rsidR="00CD669A" w:rsidRPr="00A3136F">
        <w:rPr>
          <w:rFonts w:ascii="Times New Roman" w:hAnsi="Times New Roman" w:cs="Times New Roman"/>
        </w:rPr>
        <w:t xml:space="preserve">that Prudential was entitled to </w:t>
      </w:r>
      <w:r w:rsidRPr="00A3136F">
        <w:rPr>
          <w:rFonts w:ascii="Times New Roman" w:hAnsi="Times New Roman" w:cs="Times New Roman"/>
        </w:rPr>
        <w:t xml:space="preserve">the contract, default rate of interest accruing from the date of the hotel sale, non-compounded interest. Upon appeal, the BAP reversed in Prudential’s favor. Upon further appeal, the First Circuit reversed and vacated the BAP's decision, agreeing with the bankruptcy court’s findings. In adopting a flexible approach tinged with equitable considerations, the First Circuit ruled that under the circumstances of this case, the bankruptcy court was correct to adopt a flexible approach. Upon applying the flexible approach, the First Circuit agreed with the bankruptcy court's finding that Prudential had not met its burden of showing it was over-secured for purposes of §506(b) at any time before the hotel sale date. While the First Circuit held that application of the appropriate rate of post-petition interest falls within the limited discretion of the court, where the parties have contracted to a certain rate, that rate should apply as long as it is enforceable under applicable state law and provided that there are no intervening and countervailing equitable considerations. The First Circuit found that Prudential did not claim entitlement to compounding until </w:t>
      </w:r>
      <w:r w:rsidRPr="00A3136F">
        <w:rPr>
          <w:rFonts w:ascii="Times New Roman" w:hAnsi="Times New Roman" w:cs="Times New Roman"/>
          <w:i/>
          <w:iCs/>
        </w:rPr>
        <w:t>after</w:t>
      </w:r>
      <w:r w:rsidRPr="00A3136F">
        <w:rPr>
          <w:rFonts w:ascii="Times New Roman" w:hAnsi="Times New Roman" w:cs="Times New Roman"/>
        </w:rPr>
        <w:t xml:space="preserve"> the bankruptcy court granted it interest at the contract default rate, and since Prudential failed to give the bankruptcy court the opportunity to consider whether application of compound interest (even if the contract called for it) would have been equitable in this case, then Prudential cannot complain that the court abused its discretion or erred in disallowing compounding.  </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b/>
          <w:bCs/>
          <w:i/>
          <w:iCs/>
        </w:rPr>
        <w:t>Brown v. Mass. Dep't of Revenue (In re Brown),</w:t>
      </w:r>
      <w:r w:rsidRPr="00A3136F">
        <w:rPr>
          <w:rFonts w:ascii="Times New Roman" w:hAnsi="Times New Roman" w:cs="Times New Roman"/>
          <w:b/>
          <w:bCs/>
        </w:rPr>
        <w:t> </w:t>
      </w:r>
      <w:r w:rsidRPr="00A3136F">
        <w:rPr>
          <w:rFonts w:ascii="Times New Roman" w:hAnsi="Times New Roman" w:cs="Times New Roman"/>
          <w:b/>
        </w:rPr>
        <w:t>2014 WL 1815393</w:t>
      </w:r>
      <w:r w:rsidRPr="00A3136F">
        <w:rPr>
          <w:rFonts w:ascii="Times New Roman" w:hAnsi="Times New Roman" w:cs="Times New Roman"/>
          <w:b/>
          <w:bCs/>
        </w:rPr>
        <w:t xml:space="preserve"> (B.A.P. 1</w:t>
      </w:r>
      <w:r w:rsidRPr="00A3136F">
        <w:rPr>
          <w:rFonts w:ascii="Times New Roman" w:hAnsi="Times New Roman" w:cs="Times New Roman"/>
          <w:b/>
          <w:bCs/>
          <w:vertAlign w:val="superscript"/>
        </w:rPr>
        <w:t>st</w:t>
      </w:r>
      <w:r w:rsidRPr="00A3136F">
        <w:rPr>
          <w:rFonts w:ascii="Times New Roman" w:hAnsi="Times New Roman" w:cs="Times New Roman"/>
          <w:b/>
          <w:bCs/>
        </w:rPr>
        <w:t> Cir. April 3, 2014</w:t>
      </w:r>
      <w:proofErr w:type="gramStart"/>
      <w:r w:rsidRPr="00A3136F">
        <w:rPr>
          <w:rFonts w:ascii="Times New Roman" w:hAnsi="Times New Roman" w:cs="Times New Roman"/>
          <w:b/>
          <w:bCs/>
        </w:rPr>
        <w:t>)[</w:t>
      </w:r>
      <w:proofErr w:type="gramEnd"/>
      <w:r w:rsidRPr="00A3136F">
        <w:rPr>
          <w:rFonts w:ascii="Times New Roman" w:hAnsi="Times New Roman" w:cs="Times New Roman"/>
          <w:b/>
          <w:bCs/>
        </w:rPr>
        <w:t xml:space="preserve">Not for publication]. </w:t>
      </w:r>
      <w:r w:rsidRPr="00A3136F">
        <w:rPr>
          <w:rFonts w:ascii="Times New Roman" w:hAnsi="Times New Roman" w:cs="Times New Roman"/>
        </w:rPr>
        <w:t> </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rPr>
        <w:t>Bankruptcy Appellate Panel uph</w:t>
      </w:r>
      <w:r w:rsidR="00CD669A" w:rsidRPr="00A3136F">
        <w:rPr>
          <w:rFonts w:ascii="Times New Roman" w:hAnsi="Times New Roman" w:cs="Times New Roman"/>
        </w:rPr>
        <w:t>eld the bankruptcy court's judg</w:t>
      </w:r>
      <w:r w:rsidRPr="00A3136F">
        <w:rPr>
          <w:rFonts w:ascii="Times New Roman" w:hAnsi="Times New Roman" w:cs="Times New Roman"/>
        </w:rPr>
        <w:t xml:space="preserve">ment determining that certain state income tax liabilities of the debtor were dischargeable, even though his corresponding tax returns were filed late, for the reasons set forth in </w:t>
      </w:r>
      <w:r w:rsidRPr="00A3136F">
        <w:rPr>
          <w:rFonts w:ascii="Times New Roman" w:hAnsi="Times New Roman" w:cs="Times New Roman"/>
          <w:i/>
        </w:rPr>
        <w:t>Gonzalez v. Mass. Dep't of Revenue</w:t>
      </w:r>
      <w:r w:rsidRPr="00A3136F">
        <w:rPr>
          <w:rFonts w:ascii="Times New Roman" w:hAnsi="Times New Roman" w:cs="Times New Roman"/>
        </w:rPr>
        <w:t xml:space="preserve"> (</w:t>
      </w:r>
      <w:r w:rsidRPr="00A3136F">
        <w:rPr>
          <w:rFonts w:ascii="Times New Roman" w:hAnsi="Times New Roman" w:cs="Times New Roman"/>
          <w:i/>
        </w:rPr>
        <w:t>In re Gonzalez</w:t>
      </w:r>
      <w:r w:rsidRPr="00A3136F">
        <w:rPr>
          <w:rFonts w:ascii="Times New Roman" w:hAnsi="Times New Roman" w:cs="Times New Roman"/>
        </w:rPr>
        <w:t xml:space="preserve">), BAP No. MW-0326, 2014 WL 888460 (B.A.P. 1st Cir. Mar. 6, 2014). In </w:t>
      </w:r>
      <w:r w:rsidRPr="00A3136F">
        <w:rPr>
          <w:rFonts w:ascii="Times New Roman" w:hAnsi="Times New Roman" w:cs="Times New Roman"/>
          <w:i/>
        </w:rPr>
        <w:t>Gonzalez</w:t>
      </w:r>
      <w:r w:rsidRPr="00A3136F">
        <w:rPr>
          <w:rFonts w:ascii="Times New Roman" w:hAnsi="Times New Roman" w:cs="Times New Roman"/>
        </w:rPr>
        <w:t xml:space="preserve">, the Panel held that a late-filed income tax return is still a "return" for </w:t>
      </w:r>
      <w:r w:rsidR="00CD669A" w:rsidRPr="00A3136F">
        <w:rPr>
          <w:rFonts w:ascii="Times New Roman" w:hAnsi="Times New Roman" w:cs="Times New Roman"/>
        </w:rPr>
        <w:t xml:space="preserve">purposes of 11 U.S.C. §523(a). </w:t>
      </w:r>
      <w:r w:rsidRPr="00A3136F">
        <w:rPr>
          <w:rFonts w:ascii="Times New Roman" w:hAnsi="Times New Roman" w:cs="Times New Roman"/>
        </w:rPr>
        <w:t xml:space="preserve">The MDOR's theory, which did not prevail at the trial level or upon appeal, was that the debtor's late-filed income tax returns should not qualify as "returns" for purposes of §523(a), and that §523(a)(1)(B)(i) renders </w:t>
      </w:r>
      <w:proofErr w:type="spellStart"/>
      <w:r w:rsidRPr="00A3136F">
        <w:rPr>
          <w:rFonts w:ascii="Times New Roman" w:hAnsi="Times New Roman" w:cs="Times New Roman"/>
        </w:rPr>
        <w:t>nondischargeable</w:t>
      </w:r>
      <w:proofErr w:type="spellEnd"/>
      <w:r w:rsidRPr="00A3136F">
        <w:rPr>
          <w:rFonts w:ascii="Times New Roman" w:hAnsi="Times New Roman" w:cs="Times New Roman"/>
        </w:rPr>
        <w:t xml:space="preserve"> tax liabilities fo</w:t>
      </w:r>
      <w:r w:rsidR="00CD669A" w:rsidRPr="00A3136F">
        <w:rPr>
          <w:rFonts w:ascii="Times New Roman" w:hAnsi="Times New Roman" w:cs="Times New Roman"/>
        </w:rPr>
        <w:t xml:space="preserve">r which a return was not filed. </w:t>
      </w:r>
      <w:r w:rsidRPr="00A3136F">
        <w:rPr>
          <w:rFonts w:ascii="Times New Roman" w:hAnsi="Times New Roman" w:cs="Times New Roman"/>
        </w:rPr>
        <w:t xml:space="preserve">The Panel upheld that to accept the MDOR's interpretation would </w:t>
      </w:r>
      <w:r w:rsidRPr="00A3136F">
        <w:rPr>
          <w:rFonts w:ascii="Times New Roman" w:hAnsi="Times New Roman" w:cs="Times New Roman"/>
        </w:rPr>
        <w:lastRenderedPageBreak/>
        <w:t>rende</w:t>
      </w:r>
      <w:r w:rsidR="00CD669A" w:rsidRPr="00A3136F">
        <w:rPr>
          <w:rFonts w:ascii="Times New Roman" w:hAnsi="Times New Roman" w:cs="Times New Roman"/>
        </w:rPr>
        <w:t>r §523(1</w:t>
      </w:r>
      <w:proofErr w:type="gramStart"/>
      <w:r w:rsidR="00CD669A" w:rsidRPr="00A3136F">
        <w:rPr>
          <w:rFonts w:ascii="Times New Roman" w:hAnsi="Times New Roman" w:cs="Times New Roman"/>
        </w:rPr>
        <w:t>)(</w:t>
      </w:r>
      <w:proofErr w:type="gramEnd"/>
      <w:r w:rsidR="00CD669A" w:rsidRPr="00A3136F">
        <w:rPr>
          <w:rFonts w:ascii="Times New Roman" w:hAnsi="Times New Roman" w:cs="Times New Roman"/>
        </w:rPr>
        <w:t xml:space="preserve">1)(B)(ii) a nullity. </w:t>
      </w:r>
      <w:r w:rsidRPr="00A3136F">
        <w:rPr>
          <w:rFonts w:ascii="Times New Roman" w:hAnsi="Times New Roman" w:cs="Times New Roman"/>
        </w:rPr>
        <w:t>The late-filed returns at issue were "returns" under applicable Massachusetts law and there was no basis then in §523(a) for excepting from discharge the taxes assessed by such returns.</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proofErr w:type="gramStart"/>
      <w:r w:rsidRPr="00A3136F">
        <w:rPr>
          <w:rFonts w:ascii="Times New Roman" w:hAnsi="Times New Roman" w:cs="Times New Roman"/>
          <w:b/>
          <w:bCs/>
          <w:i/>
          <w:iCs/>
        </w:rPr>
        <w:t>Viper Ventures, LLC, v. Stewart F. Grossman (In re Corbett),</w:t>
      </w:r>
      <w:r w:rsidRPr="00A3136F">
        <w:rPr>
          <w:rFonts w:ascii="Times New Roman" w:hAnsi="Times New Roman" w:cs="Times New Roman"/>
          <w:b/>
          <w:bCs/>
        </w:rPr>
        <w:t> BAP NO.</w:t>
      </w:r>
      <w:proofErr w:type="gramEnd"/>
      <w:r w:rsidRPr="00A3136F">
        <w:rPr>
          <w:rFonts w:ascii="Times New Roman" w:hAnsi="Times New Roman" w:cs="Times New Roman"/>
          <w:b/>
          <w:bCs/>
        </w:rPr>
        <w:t xml:space="preserve"> MB 14-010 (B.A.P. 1</w:t>
      </w:r>
      <w:r w:rsidRPr="00A3136F">
        <w:rPr>
          <w:rFonts w:ascii="Times New Roman" w:hAnsi="Times New Roman" w:cs="Times New Roman"/>
          <w:b/>
          <w:bCs/>
          <w:vertAlign w:val="superscript"/>
        </w:rPr>
        <w:t>st</w:t>
      </w:r>
      <w:r w:rsidRPr="00A3136F">
        <w:rPr>
          <w:rFonts w:ascii="Times New Roman" w:hAnsi="Times New Roman" w:cs="Times New Roman"/>
          <w:b/>
          <w:bCs/>
        </w:rPr>
        <w:t> Cir. April 4, 2014). </w:t>
      </w:r>
      <w:r w:rsidRPr="00A3136F">
        <w:rPr>
          <w:rFonts w:ascii="Times New Roman" w:hAnsi="Times New Roman" w:cs="Times New Roman"/>
        </w:rPr>
        <w:t> </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Appellant sought to appeal the bankruptcy court's order allowing the chapter 7 </w:t>
      </w:r>
      <w:proofErr w:type="gramStart"/>
      <w:r w:rsidRPr="00A3136F">
        <w:rPr>
          <w:rFonts w:ascii="Times New Roman" w:hAnsi="Times New Roman" w:cs="Times New Roman"/>
        </w:rPr>
        <w:t>trustee</w:t>
      </w:r>
      <w:proofErr w:type="gramEnd"/>
      <w:r w:rsidRPr="00A3136F">
        <w:rPr>
          <w:rFonts w:ascii="Times New Roman" w:hAnsi="Times New Roman" w:cs="Times New Roman"/>
        </w:rPr>
        <w:t xml:space="preserve"> to sell certain real property free and clear of all liens, claims, and encumbrances, which was dismissed as moot, and thus dismi</w:t>
      </w:r>
      <w:r w:rsidR="00CD669A" w:rsidRPr="00A3136F">
        <w:rPr>
          <w:rFonts w:ascii="Times New Roman" w:hAnsi="Times New Roman" w:cs="Times New Roman"/>
        </w:rPr>
        <w:t xml:space="preserve">ssed for lack of jurisdiction. </w:t>
      </w:r>
      <w:r w:rsidRPr="00A3136F">
        <w:rPr>
          <w:rFonts w:ascii="Times New Roman" w:hAnsi="Times New Roman" w:cs="Times New Roman"/>
        </w:rPr>
        <w:t>Pursuant to 11 U.S.C. §363(m), when an order confirming a sale to a good faith purchaser is entered and a stay of that sale is not obtained, the sale becomes final and cannot be reversed on appeal.</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proofErr w:type="spellStart"/>
      <w:proofErr w:type="gramStart"/>
      <w:r w:rsidRPr="00A3136F">
        <w:rPr>
          <w:rFonts w:ascii="Times New Roman" w:hAnsi="Times New Roman" w:cs="Times New Roman"/>
          <w:b/>
          <w:bCs/>
          <w:i/>
          <w:iCs/>
        </w:rPr>
        <w:t>Emiabata</w:t>
      </w:r>
      <w:proofErr w:type="spellEnd"/>
      <w:r w:rsidRPr="00A3136F">
        <w:rPr>
          <w:rFonts w:ascii="Times New Roman" w:hAnsi="Times New Roman" w:cs="Times New Roman"/>
          <w:b/>
          <w:bCs/>
          <w:i/>
          <w:iCs/>
        </w:rPr>
        <w:t xml:space="preserve"> v. </w:t>
      </w:r>
      <w:proofErr w:type="spellStart"/>
      <w:r w:rsidRPr="00A3136F">
        <w:rPr>
          <w:rFonts w:ascii="Times New Roman" w:hAnsi="Times New Roman" w:cs="Times New Roman"/>
          <w:b/>
          <w:bCs/>
          <w:i/>
          <w:iCs/>
        </w:rPr>
        <w:t>Bankowski</w:t>
      </w:r>
      <w:proofErr w:type="spellEnd"/>
      <w:r w:rsidRPr="00A3136F">
        <w:rPr>
          <w:rFonts w:ascii="Times New Roman" w:hAnsi="Times New Roman" w:cs="Times New Roman"/>
          <w:b/>
          <w:bCs/>
          <w:i/>
          <w:iCs/>
        </w:rPr>
        <w:t xml:space="preserve">, (In re </w:t>
      </w:r>
      <w:proofErr w:type="spellStart"/>
      <w:r w:rsidRPr="00A3136F">
        <w:rPr>
          <w:rFonts w:ascii="Times New Roman" w:hAnsi="Times New Roman" w:cs="Times New Roman"/>
          <w:b/>
          <w:bCs/>
          <w:i/>
          <w:iCs/>
        </w:rPr>
        <w:t>Emiabata</w:t>
      </w:r>
      <w:proofErr w:type="spellEnd"/>
      <w:r w:rsidRPr="00A3136F">
        <w:rPr>
          <w:rFonts w:ascii="Times New Roman" w:hAnsi="Times New Roman" w:cs="Times New Roman"/>
          <w:b/>
          <w:bCs/>
          <w:i/>
          <w:iCs/>
        </w:rPr>
        <w:t>),</w:t>
      </w:r>
      <w:r w:rsidRPr="00A3136F">
        <w:rPr>
          <w:rFonts w:ascii="Times New Roman" w:hAnsi="Times New Roman" w:cs="Times New Roman"/>
          <w:b/>
          <w:bCs/>
        </w:rPr>
        <w:t> BAP NO.</w:t>
      </w:r>
      <w:proofErr w:type="gramEnd"/>
      <w:r w:rsidRPr="00A3136F">
        <w:rPr>
          <w:rFonts w:ascii="Times New Roman" w:hAnsi="Times New Roman" w:cs="Times New Roman"/>
          <w:b/>
          <w:bCs/>
        </w:rPr>
        <w:t xml:space="preserve"> MB 14-023 (B.A.P. 1</w:t>
      </w:r>
      <w:r w:rsidRPr="00A3136F">
        <w:rPr>
          <w:rFonts w:ascii="Times New Roman" w:hAnsi="Times New Roman" w:cs="Times New Roman"/>
          <w:b/>
          <w:bCs/>
          <w:vertAlign w:val="superscript"/>
        </w:rPr>
        <w:t>st</w:t>
      </w:r>
      <w:r w:rsidRPr="00A3136F">
        <w:rPr>
          <w:rFonts w:ascii="Times New Roman" w:hAnsi="Times New Roman" w:cs="Times New Roman"/>
          <w:b/>
          <w:bCs/>
        </w:rPr>
        <w:t> Cir. April 17, 2014). </w:t>
      </w:r>
      <w:r w:rsidRPr="00A3136F">
        <w:rPr>
          <w:rFonts w:ascii="Times New Roman" w:hAnsi="Times New Roman" w:cs="Times New Roman"/>
        </w:rPr>
        <w:t> </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rPr>
        <w:t>Debtors appealed the bankruptcy court's order granting the chapter 13 trustee's motion to transfer venue of the debtors' case to the United States Bankruptcy Court for the Eastern District of Texas. Since this was not a final order, the Bankruptcy Appellate Panel dismissed the ap</w:t>
      </w:r>
      <w:r w:rsidR="00CD669A" w:rsidRPr="00A3136F">
        <w:rPr>
          <w:rFonts w:ascii="Times New Roman" w:hAnsi="Times New Roman" w:cs="Times New Roman"/>
        </w:rPr>
        <w:t xml:space="preserve">peal for lack of jurisdiction. </w:t>
      </w:r>
      <w:r w:rsidRPr="00A3136F">
        <w:rPr>
          <w:rFonts w:ascii="Times New Roman" w:hAnsi="Times New Roman" w:cs="Times New Roman"/>
        </w:rPr>
        <w:t>Generally, a bankruptcy court's order granting or denying a motion to transfer venue of a case or proceeding is interlocutory. While the Panel has the discretion to grant leave to appeal from interlocutory orders pursuant to 28 U.S.C. §158(a)(3), appellate courts within the First Circuit typically apply the factors set forth in 28 U.S.C. §1292(b) which define the jurisdiction of courts of appeal to review interlocutory orders. As such,</w:t>
      </w:r>
      <w:r w:rsidR="00C91A61" w:rsidRPr="00A3136F">
        <w:rPr>
          <w:rFonts w:ascii="Times New Roman" w:hAnsi="Times New Roman" w:cs="Times New Roman"/>
        </w:rPr>
        <w:t xml:space="preserve"> </w:t>
      </w:r>
      <w:r w:rsidRPr="00A3136F">
        <w:rPr>
          <w:rFonts w:ascii="Times New Roman" w:hAnsi="Times New Roman" w:cs="Times New Roman"/>
        </w:rPr>
        <w:t>to determine whether to hear an interlocutory appeal, the Panel considers these three factors: (1) whether the order at issue involves controlling questions of law; (2) whether there exists a substantial ground for differing opinions; and, (3) whether an immediate appeal might materially advance the ultimate outcome of the case, which factors were not found here.</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proofErr w:type="gramStart"/>
      <w:r w:rsidRPr="00A3136F">
        <w:rPr>
          <w:rFonts w:ascii="Times New Roman" w:hAnsi="Times New Roman" w:cs="Times New Roman"/>
          <w:b/>
          <w:bCs/>
          <w:i/>
          <w:iCs/>
        </w:rPr>
        <w:t>Aponte v.</w:t>
      </w:r>
      <w:proofErr w:type="gramEnd"/>
      <w:r w:rsidRPr="00A3136F">
        <w:rPr>
          <w:rFonts w:ascii="Times New Roman" w:hAnsi="Times New Roman" w:cs="Times New Roman"/>
          <w:b/>
          <w:bCs/>
          <w:i/>
          <w:iCs/>
        </w:rPr>
        <w:t xml:space="preserve"> </w:t>
      </w:r>
      <w:proofErr w:type="gramStart"/>
      <w:r w:rsidRPr="00A3136F">
        <w:rPr>
          <w:rFonts w:ascii="Times New Roman" w:hAnsi="Times New Roman" w:cs="Times New Roman"/>
          <w:b/>
          <w:bCs/>
          <w:i/>
          <w:iCs/>
        </w:rPr>
        <w:t xml:space="preserve">The Diplomat (In re Aponte f/d/b/a </w:t>
      </w:r>
      <w:proofErr w:type="spellStart"/>
      <w:r w:rsidRPr="00A3136F">
        <w:rPr>
          <w:rFonts w:ascii="Times New Roman" w:hAnsi="Times New Roman" w:cs="Times New Roman"/>
          <w:b/>
          <w:bCs/>
          <w:i/>
          <w:iCs/>
        </w:rPr>
        <w:t>Anaeksa</w:t>
      </w:r>
      <w:proofErr w:type="spellEnd"/>
      <w:r w:rsidRPr="00A3136F">
        <w:rPr>
          <w:rFonts w:ascii="Times New Roman" w:hAnsi="Times New Roman" w:cs="Times New Roman"/>
          <w:b/>
          <w:bCs/>
          <w:i/>
          <w:iCs/>
        </w:rPr>
        <w:t xml:space="preserve"> </w:t>
      </w:r>
      <w:proofErr w:type="spellStart"/>
      <w:r w:rsidRPr="00A3136F">
        <w:rPr>
          <w:rFonts w:ascii="Times New Roman" w:hAnsi="Times New Roman" w:cs="Times New Roman"/>
          <w:b/>
          <w:bCs/>
          <w:i/>
          <w:iCs/>
        </w:rPr>
        <w:t>Inmobiliaire</w:t>
      </w:r>
      <w:proofErr w:type="spellEnd"/>
      <w:r w:rsidRPr="00A3136F">
        <w:rPr>
          <w:rFonts w:ascii="Times New Roman" w:hAnsi="Times New Roman" w:cs="Times New Roman"/>
          <w:b/>
          <w:bCs/>
          <w:i/>
          <w:iCs/>
        </w:rPr>
        <w:t xml:space="preserve"> Group), </w:t>
      </w:r>
      <w:r w:rsidR="00EA0195" w:rsidRPr="00A3136F">
        <w:rPr>
          <w:rFonts w:ascii="Times New Roman" w:hAnsi="Times New Roman" w:cs="Times New Roman"/>
          <w:b/>
          <w:bCs/>
        </w:rPr>
        <w:t>BAP NO.</w:t>
      </w:r>
      <w:proofErr w:type="gramEnd"/>
      <w:r w:rsidR="00EA0195" w:rsidRPr="00A3136F">
        <w:rPr>
          <w:rFonts w:ascii="Times New Roman" w:hAnsi="Times New Roman" w:cs="Times New Roman"/>
          <w:b/>
          <w:bCs/>
        </w:rPr>
        <w:t xml:space="preserve"> PR 14-015</w:t>
      </w:r>
      <w:r w:rsidRPr="00A3136F">
        <w:rPr>
          <w:rFonts w:ascii="Times New Roman" w:hAnsi="Times New Roman" w:cs="Times New Roman"/>
          <w:b/>
          <w:bCs/>
        </w:rPr>
        <w:t> (B.A.P. 1</w:t>
      </w:r>
      <w:r w:rsidRPr="00A3136F">
        <w:rPr>
          <w:rFonts w:ascii="Times New Roman" w:hAnsi="Times New Roman" w:cs="Times New Roman"/>
          <w:b/>
          <w:bCs/>
          <w:vertAlign w:val="superscript"/>
        </w:rPr>
        <w:t>st</w:t>
      </w:r>
      <w:r w:rsidRPr="00A3136F">
        <w:rPr>
          <w:rFonts w:ascii="Times New Roman" w:hAnsi="Times New Roman" w:cs="Times New Roman"/>
          <w:b/>
          <w:bCs/>
        </w:rPr>
        <w:t> Cir. April 8, 2014).  </w:t>
      </w:r>
    </w:p>
    <w:p w:rsidR="004B2DDE" w:rsidRPr="00A3136F" w:rsidRDefault="004B2DDE" w:rsidP="00CD669A">
      <w:pPr>
        <w:spacing w:after="0" w:line="240" w:lineRule="auto"/>
        <w:jc w:val="both"/>
        <w:rPr>
          <w:rFonts w:ascii="Times New Roman" w:hAnsi="Times New Roman" w:cs="Times New Roman"/>
        </w:rPr>
      </w:pPr>
    </w:p>
    <w:p w:rsidR="004B2DDE" w:rsidRPr="00A3136F" w:rsidRDefault="004B2DDE" w:rsidP="00CD669A">
      <w:pPr>
        <w:spacing w:after="0" w:line="240" w:lineRule="auto"/>
        <w:jc w:val="both"/>
        <w:rPr>
          <w:rFonts w:ascii="Times New Roman" w:hAnsi="Times New Roman" w:cs="Times New Roman"/>
        </w:rPr>
      </w:pPr>
      <w:r w:rsidRPr="00A3136F">
        <w:rPr>
          <w:rFonts w:ascii="Times New Roman" w:hAnsi="Times New Roman" w:cs="Times New Roman"/>
        </w:rPr>
        <w:t>Discretionary review of an interlocutory order was denied by the Bankruptcy Appellate Panel, herein review denied of the bankruptcy court's order denying dismissal of an adversary proceeding.</w:t>
      </w:r>
    </w:p>
    <w:p w:rsidR="001671FA" w:rsidRPr="00A3136F" w:rsidRDefault="001671FA" w:rsidP="001671FA">
      <w:pPr>
        <w:spacing w:after="0" w:line="240" w:lineRule="auto"/>
        <w:rPr>
          <w:rFonts w:ascii="Times New Roman" w:hAnsi="Times New Roman" w:cs="Times New Roman"/>
          <w:i/>
        </w:rPr>
      </w:pPr>
    </w:p>
    <w:p w:rsidR="001671FA" w:rsidRPr="00A3136F" w:rsidRDefault="001671FA" w:rsidP="001671FA">
      <w:pPr>
        <w:spacing w:after="0" w:line="240" w:lineRule="auto"/>
        <w:rPr>
          <w:rFonts w:ascii="Times New Roman" w:hAnsi="Times New Roman" w:cs="Times New Roman"/>
        </w:rPr>
      </w:pPr>
      <w:r w:rsidRPr="00A3136F">
        <w:rPr>
          <w:rFonts w:ascii="Times New Roman" w:hAnsi="Times New Roman" w:cs="Times New Roman"/>
          <w:i/>
        </w:rPr>
        <w:t>Submitted by:</w:t>
      </w:r>
    </w:p>
    <w:p w:rsidR="001671FA" w:rsidRPr="00A3136F" w:rsidRDefault="001671FA" w:rsidP="00187CA9">
      <w:pPr>
        <w:spacing w:after="0" w:line="240" w:lineRule="auto"/>
        <w:rPr>
          <w:rFonts w:ascii="Times New Roman" w:hAnsi="Times New Roman" w:cs="Times New Roman"/>
          <w:b/>
        </w:rPr>
      </w:pPr>
      <w:r w:rsidRPr="00A3136F">
        <w:rPr>
          <w:rFonts w:ascii="Times New Roman" w:hAnsi="Times New Roman" w:cs="Times New Roman"/>
          <w:b/>
        </w:rPr>
        <w:t>Patricia S. Gardner, Esq.</w:t>
      </w:r>
    </w:p>
    <w:p w:rsidR="00187CA9" w:rsidRPr="00A3136F" w:rsidRDefault="00187CA9" w:rsidP="00187CA9">
      <w:pPr>
        <w:spacing w:after="0" w:line="240" w:lineRule="auto"/>
        <w:rPr>
          <w:rFonts w:ascii="Times New Roman" w:hAnsi="Times New Roman" w:cs="Times New Roman"/>
          <w:bCs/>
        </w:rPr>
      </w:pPr>
      <w:r w:rsidRPr="00A3136F">
        <w:rPr>
          <w:rFonts w:ascii="Times New Roman" w:hAnsi="Times New Roman" w:cs="Times New Roman"/>
          <w:bCs/>
        </w:rPr>
        <w:t>THE GARDNER LAW FIRM, PATRICIA S. GARDNER, ESQ., LLC</w:t>
      </w:r>
    </w:p>
    <w:p w:rsidR="00187CA9" w:rsidRPr="00A3136F" w:rsidRDefault="00187CA9" w:rsidP="00187CA9">
      <w:pPr>
        <w:spacing w:after="0" w:line="240" w:lineRule="auto"/>
        <w:rPr>
          <w:rFonts w:ascii="Times New Roman" w:hAnsi="Times New Roman" w:cs="Times New Roman"/>
          <w:bCs/>
        </w:rPr>
      </w:pPr>
      <w:r w:rsidRPr="00A3136F">
        <w:rPr>
          <w:rFonts w:ascii="Times New Roman" w:hAnsi="Times New Roman" w:cs="Times New Roman"/>
          <w:bCs/>
        </w:rPr>
        <w:t>P</w:t>
      </w:r>
      <w:r w:rsidR="00CD669A" w:rsidRPr="00A3136F">
        <w:rPr>
          <w:rFonts w:ascii="Times New Roman" w:hAnsi="Times New Roman" w:cs="Times New Roman"/>
          <w:bCs/>
        </w:rPr>
        <w:t>O</w:t>
      </w:r>
      <w:r w:rsidRPr="00A3136F">
        <w:rPr>
          <w:rFonts w:ascii="Times New Roman" w:hAnsi="Times New Roman" w:cs="Times New Roman"/>
          <w:bCs/>
        </w:rPr>
        <w:t xml:space="preserve"> Box 453, </w:t>
      </w:r>
      <w:proofErr w:type="spellStart"/>
      <w:r w:rsidRPr="00A3136F">
        <w:rPr>
          <w:rFonts w:ascii="Times New Roman" w:hAnsi="Times New Roman" w:cs="Times New Roman"/>
          <w:bCs/>
        </w:rPr>
        <w:t>Newmarket</w:t>
      </w:r>
      <w:proofErr w:type="spellEnd"/>
      <w:r w:rsidRPr="00A3136F">
        <w:rPr>
          <w:rFonts w:ascii="Times New Roman" w:hAnsi="Times New Roman" w:cs="Times New Roman"/>
          <w:bCs/>
        </w:rPr>
        <w:t>, NH  03857</w:t>
      </w:r>
    </w:p>
    <w:p w:rsidR="00187CA9" w:rsidRPr="00A3136F" w:rsidRDefault="00187CA9" w:rsidP="00187CA9">
      <w:pPr>
        <w:spacing w:after="0" w:line="240" w:lineRule="auto"/>
        <w:rPr>
          <w:rFonts w:ascii="Times New Roman" w:hAnsi="Times New Roman" w:cs="Times New Roman"/>
        </w:rPr>
      </w:pPr>
      <w:r w:rsidRPr="00A3136F">
        <w:rPr>
          <w:rFonts w:ascii="Times New Roman" w:hAnsi="Times New Roman" w:cs="Times New Roman"/>
          <w:bCs/>
        </w:rPr>
        <w:t>PH: </w:t>
      </w:r>
      <w:hyperlink r:id="rId7" w:tgtFrame="_blank" w:history="1">
        <w:r w:rsidRPr="00A3136F">
          <w:rPr>
            <w:rFonts w:ascii="Times New Roman" w:hAnsi="Times New Roman" w:cs="Times New Roman"/>
            <w:bCs/>
            <w:color w:val="0000FF"/>
            <w:u w:val="single"/>
          </w:rPr>
          <w:t>1-603-292-5212</w:t>
        </w:r>
      </w:hyperlink>
      <w:r w:rsidRPr="00A3136F">
        <w:rPr>
          <w:rFonts w:ascii="Times New Roman" w:hAnsi="Times New Roman" w:cs="Times New Roman"/>
          <w:bCs/>
        </w:rPr>
        <w:t> </w:t>
      </w:r>
    </w:p>
    <w:p w:rsidR="00187CA9" w:rsidRPr="00A3136F" w:rsidRDefault="00187CA9" w:rsidP="00187CA9">
      <w:pPr>
        <w:spacing w:after="0" w:line="240" w:lineRule="auto"/>
        <w:rPr>
          <w:rFonts w:ascii="Times New Roman" w:hAnsi="Times New Roman" w:cs="Times New Roman"/>
        </w:rPr>
      </w:pPr>
      <w:proofErr w:type="gramStart"/>
      <w:r w:rsidRPr="00A3136F">
        <w:rPr>
          <w:rFonts w:ascii="Times New Roman" w:hAnsi="Times New Roman" w:cs="Times New Roman"/>
        </w:rPr>
        <w:t>email</w:t>
      </w:r>
      <w:proofErr w:type="gramEnd"/>
      <w:r w:rsidRPr="00A3136F">
        <w:rPr>
          <w:rFonts w:ascii="Times New Roman" w:hAnsi="Times New Roman" w:cs="Times New Roman"/>
        </w:rPr>
        <w:t>: </w:t>
      </w:r>
      <w:hyperlink r:id="rId8" w:tgtFrame="_blank" w:history="1">
        <w:r w:rsidRPr="00A3136F">
          <w:rPr>
            <w:rFonts w:ascii="Times New Roman" w:hAnsi="Times New Roman" w:cs="Times New Roman"/>
            <w:color w:val="0000FF"/>
            <w:u w:val="single"/>
          </w:rPr>
          <w:t>gardnerbusinesslaw@gmail.com</w:t>
        </w:r>
      </w:hyperlink>
    </w:p>
    <w:p w:rsidR="00187CA9" w:rsidRPr="00A3136F" w:rsidRDefault="00187CA9" w:rsidP="00187CA9">
      <w:pPr>
        <w:spacing w:after="0" w:line="240" w:lineRule="auto"/>
        <w:rPr>
          <w:rFonts w:ascii="Times New Roman" w:hAnsi="Times New Roman" w:cs="Times New Roman"/>
        </w:rPr>
      </w:pPr>
      <w:proofErr w:type="gramStart"/>
      <w:r w:rsidRPr="00A3136F">
        <w:rPr>
          <w:rFonts w:ascii="Times New Roman" w:hAnsi="Times New Roman" w:cs="Times New Roman"/>
        </w:rPr>
        <w:t>website</w:t>
      </w:r>
      <w:proofErr w:type="gramEnd"/>
      <w:r w:rsidRPr="00A3136F">
        <w:rPr>
          <w:rFonts w:ascii="Times New Roman" w:hAnsi="Times New Roman" w:cs="Times New Roman"/>
        </w:rPr>
        <w:t>: </w:t>
      </w:r>
      <w:hyperlink r:id="rId9" w:tgtFrame="_blank" w:tooltip="http://www.smallbizlawandbankruptcynh.com/" w:history="1">
        <w:r w:rsidRPr="00A3136F">
          <w:rPr>
            <w:rFonts w:ascii="Times New Roman" w:hAnsi="Times New Roman" w:cs="Times New Roman"/>
            <w:color w:val="0000FF"/>
            <w:u w:val="single"/>
          </w:rPr>
          <w:t>www.gardnerbusinesslaw.com</w:t>
        </w:r>
      </w:hyperlink>
    </w:p>
    <w:p w:rsidR="00187CA9" w:rsidRPr="00A3136F" w:rsidRDefault="00187CA9" w:rsidP="00187CA9">
      <w:pPr>
        <w:spacing w:after="0" w:line="240" w:lineRule="auto"/>
        <w:rPr>
          <w:rFonts w:ascii="Times New Roman" w:hAnsi="Times New Roman" w:cs="Times New Roman"/>
          <w:b/>
          <w:u w:val="single"/>
        </w:rPr>
      </w:pPr>
    </w:p>
    <w:p w:rsidR="00CD669A" w:rsidRPr="00A3136F" w:rsidRDefault="00CD669A" w:rsidP="00187CA9">
      <w:pPr>
        <w:spacing w:after="0" w:line="240" w:lineRule="auto"/>
        <w:rPr>
          <w:rFonts w:ascii="Times New Roman" w:hAnsi="Times New Roman" w:cs="Times New Roman"/>
          <w:b/>
          <w:u w:val="single"/>
        </w:rPr>
      </w:pPr>
    </w:p>
    <w:p w:rsidR="001671FA" w:rsidRPr="00A3136F" w:rsidRDefault="001671FA" w:rsidP="008E21BF">
      <w:pPr>
        <w:spacing w:after="0" w:line="240" w:lineRule="auto"/>
        <w:rPr>
          <w:rFonts w:ascii="Times New Roman" w:hAnsi="Times New Roman" w:cs="Times New Roman"/>
          <w:b/>
          <w:u w:val="single"/>
        </w:rPr>
      </w:pPr>
      <w:r w:rsidRPr="00A3136F">
        <w:rPr>
          <w:rFonts w:ascii="Times New Roman" w:hAnsi="Times New Roman" w:cs="Times New Roman"/>
          <w:b/>
          <w:u w:val="single"/>
        </w:rPr>
        <w:t>Second Circuit</w:t>
      </w:r>
    </w:p>
    <w:p w:rsidR="00212D67" w:rsidRPr="00A3136F" w:rsidRDefault="00212D67" w:rsidP="008E21BF">
      <w:pPr>
        <w:spacing w:after="0" w:line="240" w:lineRule="auto"/>
        <w:rPr>
          <w:rFonts w:ascii="Times New Roman" w:hAnsi="Times New Roman" w:cs="Times New Roman"/>
          <w:b/>
          <w:u w:val="single"/>
        </w:rPr>
      </w:pPr>
    </w:p>
    <w:p w:rsidR="00212D67" w:rsidRPr="00A3136F" w:rsidRDefault="00212D67" w:rsidP="00CD669A">
      <w:pPr>
        <w:spacing w:after="0" w:line="240" w:lineRule="auto"/>
        <w:jc w:val="both"/>
        <w:rPr>
          <w:rFonts w:ascii="Times New Roman" w:hAnsi="Times New Roman" w:cs="Times New Roman"/>
          <w:b/>
        </w:rPr>
      </w:pPr>
      <w:r w:rsidRPr="00A3136F">
        <w:rPr>
          <w:rFonts w:ascii="Times New Roman" w:hAnsi="Times New Roman" w:cs="Times New Roman"/>
          <w:b/>
          <w:i/>
        </w:rPr>
        <w:t>Adelphia Recovery Trust v. Goldman, Sachs &amp; Co.</w:t>
      </w:r>
      <w:r w:rsidR="007A240A" w:rsidRPr="00A3136F">
        <w:rPr>
          <w:rFonts w:ascii="Times New Roman" w:hAnsi="Times New Roman" w:cs="Times New Roman"/>
          <w:b/>
        </w:rPr>
        <w:t>, 2014 WL 1327864</w:t>
      </w:r>
      <w:r w:rsidRPr="00A3136F">
        <w:rPr>
          <w:rFonts w:ascii="Times New Roman" w:hAnsi="Times New Roman" w:cs="Times New Roman"/>
          <w:b/>
        </w:rPr>
        <w:t xml:space="preserve"> (2d Cir. April 4, 2014)</w:t>
      </w:r>
    </w:p>
    <w:p w:rsidR="00CD669A" w:rsidRPr="00A3136F" w:rsidRDefault="00CD669A" w:rsidP="00CD669A">
      <w:pPr>
        <w:spacing w:after="0" w:line="240" w:lineRule="auto"/>
        <w:jc w:val="both"/>
        <w:rPr>
          <w:rFonts w:ascii="Times New Roman" w:hAnsi="Times New Roman" w:cs="Times New Roman"/>
          <w:b/>
        </w:rPr>
      </w:pPr>
    </w:p>
    <w:p w:rsidR="00212D67" w:rsidRPr="00A3136F" w:rsidRDefault="00212D67" w:rsidP="00CD669A">
      <w:pPr>
        <w:spacing w:after="0" w:line="240" w:lineRule="auto"/>
        <w:jc w:val="both"/>
        <w:rPr>
          <w:rFonts w:ascii="Times New Roman" w:hAnsi="Times New Roman" w:cs="Times New Roman"/>
        </w:rPr>
      </w:pPr>
      <w:r w:rsidRPr="00A3136F">
        <w:rPr>
          <w:rFonts w:ascii="Times New Roman" w:hAnsi="Times New Roman" w:cs="Times New Roman"/>
        </w:rPr>
        <w:t>The Adelphia Recovery Trust ("Trust") is a statutory trust formed under Adelphia Communications Corporation's ("ACC") confirmed plan of reorganization. As part of the plan of reorganization, the Trust was the successor in interest to ACC's litigation claims for the benefit of the ACC unsecured credit</w:t>
      </w:r>
      <w:r w:rsidR="00CD669A" w:rsidRPr="00A3136F">
        <w:rPr>
          <w:rFonts w:ascii="Times New Roman" w:hAnsi="Times New Roman" w:cs="Times New Roman"/>
        </w:rPr>
        <w:t xml:space="preserve">ors who were not paid in full. </w:t>
      </w:r>
      <w:r w:rsidRPr="00A3136F">
        <w:rPr>
          <w:rFonts w:ascii="Times New Roman" w:hAnsi="Times New Roman" w:cs="Times New Roman"/>
        </w:rPr>
        <w:t>After filing bankruptcy, ACC had filed a number of fraudulent conveyance claims including a claim against Go</w:t>
      </w:r>
      <w:r w:rsidR="00CD669A" w:rsidRPr="00A3136F">
        <w:rPr>
          <w:rFonts w:ascii="Times New Roman" w:hAnsi="Times New Roman" w:cs="Times New Roman"/>
        </w:rPr>
        <w:t xml:space="preserve">ldman, Sachs&amp; Co. ("Goldman"). </w:t>
      </w:r>
      <w:r w:rsidRPr="00A3136F">
        <w:rPr>
          <w:rFonts w:ascii="Times New Roman" w:hAnsi="Times New Roman" w:cs="Times New Roman"/>
        </w:rPr>
        <w:t xml:space="preserve">ACC had alleged that Goldman </w:t>
      </w:r>
      <w:r w:rsidRPr="00A3136F">
        <w:rPr>
          <w:rFonts w:ascii="Times New Roman" w:hAnsi="Times New Roman" w:cs="Times New Roman"/>
        </w:rPr>
        <w:lastRenderedPageBreak/>
        <w:t xml:space="preserve">made a margin loan to an entity controlled by the </w:t>
      </w:r>
      <w:proofErr w:type="spellStart"/>
      <w:r w:rsidRPr="00A3136F">
        <w:rPr>
          <w:rFonts w:ascii="Times New Roman" w:hAnsi="Times New Roman" w:cs="Times New Roman"/>
        </w:rPr>
        <w:t>Rigas</w:t>
      </w:r>
      <w:proofErr w:type="spellEnd"/>
      <w:r w:rsidRPr="00A3136F">
        <w:rPr>
          <w:rFonts w:ascii="Times New Roman" w:hAnsi="Times New Roman" w:cs="Times New Roman"/>
        </w:rPr>
        <w:t xml:space="preserve"> family (the controlling stockholders</w:t>
      </w:r>
      <w:r w:rsidR="00CD669A" w:rsidRPr="00A3136F">
        <w:rPr>
          <w:rFonts w:ascii="Times New Roman" w:hAnsi="Times New Roman" w:cs="Times New Roman"/>
        </w:rPr>
        <w:t xml:space="preserve"> in ACC) secured by ACC stock. </w:t>
      </w:r>
      <w:r w:rsidRPr="00A3136F">
        <w:rPr>
          <w:rFonts w:ascii="Times New Roman" w:hAnsi="Times New Roman" w:cs="Times New Roman"/>
        </w:rPr>
        <w:t>As ACC's stock price decreased following disclosures of fraudulently concealed of de</w:t>
      </w:r>
      <w:r w:rsidR="00CD669A" w:rsidRPr="00A3136F">
        <w:rPr>
          <w:rFonts w:ascii="Times New Roman" w:hAnsi="Times New Roman" w:cs="Times New Roman"/>
        </w:rPr>
        <w:t xml:space="preserve">bt, Goldman made margin calls. </w:t>
      </w:r>
      <w:r w:rsidRPr="00A3136F">
        <w:rPr>
          <w:rFonts w:ascii="Times New Roman" w:hAnsi="Times New Roman" w:cs="Times New Roman"/>
        </w:rPr>
        <w:t xml:space="preserve">The </w:t>
      </w:r>
      <w:proofErr w:type="spellStart"/>
      <w:r w:rsidRPr="00A3136F">
        <w:rPr>
          <w:rFonts w:ascii="Times New Roman" w:hAnsi="Times New Roman" w:cs="Times New Roman"/>
        </w:rPr>
        <w:t>Rigases</w:t>
      </w:r>
      <w:proofErr w:type="spellEnd"/>
      <w:r w:rsidRPr="00A3136F">
        <w:rPr>
          <w:rFonts w:ascii="Times New Roman" w:hAnsi="Times New Roman" w:cs="Times New Roman"/>
        </w:rPr>
        <w:t xml:space="preserve"> caused ACC to make $63 million in payments to Goldman to cover those margin calls and the Trust sought to avoid those payments.  One question at in the litigation was which Adelphia entity</w:t>
      </w:r>
      <w:r w:rsidR="00CD669A" w:rsidRPr="00A3136F">
        <w:rPr>
          <w:rFonts w:ascii="Times New Roman" w:hAnsi="Times New Roman" w:cs="Times New Roman"/>
        </w:rPr>
        <w:t xml:space="preserve"> made the payments in question.</w:t>
      </w:r>
      <w:r w:rsidRPr="00A3136F">
        <w:rPr>
          <w:rFonts w:ascii="Times New Roman" w:hAnsi="Times New Roman" w:cs="Times New Roman"/>
        </w:rPr>
        <w:t xml:space="preserve"> ACC amended its complaint to allege that the funds in question belonged to ACC, but were paid out a commingled concentration account in </w:t>
      </w:r>
      <w:r w:rsidR="00CD669A" w:rsidRPr="00A3136F">
        <w:rPr>
          <w:rFonts w:ascii="Times New Roman" w:hAnsi="Times New Roman" w:cs="Times New Roman"/>
        </w:rPr>
        <w:t xml:space="preserve">the name of an ACC subsidiary. </w:t>
      </w:r>
      <w:r w:rsidRPr="00A3136F">
        <w:rPr>
          <w:rFonts w:ascii="Times New Roman" w:hAnsi="Times New Roman" w:cs="Times New Roman"/>
        </w:rPr>
        <w:t>Relying on the bankruptcy schedules, the District Court for the Southern District of New York found that ACC was not scheduled as a creditor of the subsidiary that control</w:t>
      </w:r>
      <w:r w:rsidR="00CD669A" w:rsidRPr="00A3136F">
        <w:rPr>
          <w:rFonts w:ascii="Times New Roman" w:hAnsi="Times New Roman" w:cs="Times New Roman"/>
        </w:rPr>
        <w:t xml:space="preserve">led the concentration account. </w:t>
      </w:r>
      <w:r w:rsidRPr="00A3136F">
        <w:rPr>
          <w:rFonts w:ascii="Times New Roman" w:hAnsi="Times New Roman" w:cs="Times New Roman"/>
        </w:rPr>
        <w:t xml:space="preserve">Accordingly, the District Court ruled that ACC did not have standing to sue the subsidiary, and because the payments were made by the subsidiary, ACC also lacked standing to sue Goldman. </w:t>
      </w:r>
    </w:p>
    <w:p w:rsidR="008E21BF" w:rsidRPr="00A3136F" w:rsidRDefault="008E21BF" w:rsidP="00CD669A">
      <w:pPr>
        <w:spacing w:after="0" w:line="240" w:lineRule="auto"/>
        <w:jc w:val="both"/>
        <w:rPr>
          <w:rFonts w:ascii="Times New Roman" w:hAnsi="Times New Roman" w:cs="Times New Roman"/>
        </w:rPr>
      </w:pPr>
    </w:p>
    <w:p w:rsidR="008E21BF" w:rsidRPr="00A3136F" w:rsidRDefault="00212D67" w:rsidP="00CD669A">
      <w:pPr>
        <w:spacing w:after="0" w:line="240" w:lineRule="auto"/>
        <w:jc w:val="both"/>
        <w:rPr>
          <w:rFonts w:ascii="Times New Roman" w:hAnsi="Times New Roman" w:cs="Times New Roman"/>
        </w:rPr>
      </w:pPr>
      <w:r w:rsidRPr="00A3136F">
        <w:rPr>
          <w:rFonts w:ascii="Times New Roman" w:hAnsi="Times New Roman" w:cs="Times New Roman"/>
        </w:rPr>
        <w:t>On appeal</w:t>
      </w:r>
      <w:r w:rsidR="00EA0195" w:rsidRPr="00A3136F">
        <w:rPr>
          <w:rFonts w:ascii="Times New Roman" w:hAnsi="Times New Roman" w:cs="Times New Roman"/>
        </w:rPr>
        <w:t>,</w:t>
      </w:r>
      <w:r w:rsidRPr="00A3136F">
        <w:rPr>
          <w:rFonts w:ascii="Times New Roman" w:hAnsi="Times New Roman" w:cs="Times New Roman"/>
        </w:rPr>
        <w:t xml:space="preserve"> the Second Circuit noted that the only question was whether the complaint stated a vali</w:t>
      </w:r>
      <w:r w:rsidR="00CD669A" w:rsidRPr="00A3136F">
        <w:rPr>
          <w:rFonts w:ascii="Times New Roman" w:hAnsi="Times New Roman" w:cs="Times New Roman"/>
        </w:rPr>
        <w:t xml:space="preserve">d fraudulent conveyance claim. </w:t>
      </w:r>
      <w:r w:rsidRPr="00A3136F">
        <w:rPr>
          <w:rFonts w:ascii="Times New Roman" w:hAnsi="Times New Roman" w:cs="Times New Roman"/>
        </w:rPr>
        <w:t>Analyzing the text of the Bankruptcy Code, the Court noted that the debtor's avoidance power extends only to "transfers of prop</w:t>
      </w:r>
      <w:r w:rsidR="00CD669A" w:rsidRPr="00A3136F">
        <w:rPr>
          <w:rFonts w:ascii="Times New Roman" w:hAnsi="Times New Roman" w:cs="Times New Roman"/>
        </w:rPr>
        <w:t xml:space="preserve">erty of the debtor." </w:t>
      </w:r>
      <w:r w:rsidRPr="00A3136F">
        <w:rPr>
          <w:rFonts w:ascii="Times New Roman" w:hAnsi="Times New Roman" w:cs="Times New Roman"/>
        </w:rPr>
        <w:t>Therefore, the trust's standing to sue Goldman turned on whether ACC owed the account or was a beneficial owner</w:t>
      </w:r>
      <w:r w:rsidR="00CD669A" w:rsidRPr="00A3136F">
        <w:rPr>
          <w:rFonts w:ascii="Times New Roman" w:hAnsi="Times New Roman" w:cs="Times New Roman"/>
        </w:rPr>
        <w:t xml:space="preserve"> of the monies in the account. </w:t>
      </w:r>
      <w:r w:rsidRPr="00A3136F">
        <w:rPr>
          <w:rFonts w:ascii="Times New Roman" w:hAnsi="Times New Roman" w:cs="Times New Roman"/>
        </w:rPr>
        <w:t>The Second Circuit noted that the bankruptcy schedules listed the concentration account as property of the Adelp</w:t>
      </w:r>
      <w:r w:rsidR="00CD669A" w:rsidRPr="00A3136F">
        <w:rPr>
          <w:rFonts w:ascii="Times New Roman" w:hAnsi="Times New Roman" w:cs="Times New Roman"/>
        </w:rPr>
        <w:t xml:space="preserve">hia subsidiary and not of ACC. </w:t>
      </w:r>
      <w:r w:rsidRPr="00A3136F">
        <w:rPr>
          <w:rFonts w:ascii="Times New Roman" w:hAnsi="Times New Roman" w:cs="Times New Roman"/>
        </w:rPr>
        <w:t xml:space="preserve">ACC never advanced the theory that it was the beneficial owner of the funds until after the Adelphia plan of reorganization was confirmed </w:t>
      </w:r>
      <w:r w:rsidR="00CD669A" w:rsidRPr="00A3136F">
        <w:rPr>
          <w:rFonts w:ascii="Times New Roman" w:hAnsi="Times New Roman" w:cs="Times New Roman"/>
        </w:rPr>
        <w:t xml:space="preserve">and substantially consummated. </w:t>
      </w:r>
      <w:r w:rsidRPr="00A3136F">
        <w:rPr>
          <w:rFonts w:ascii="Times New Roman" w:hAnsi="Times New Roman" w:cs="Times New Roman"/>
        </w:rPr>
        <w:t>Noting the importance of the finality of the allocations of claims and property in a confirmed plan of reorganization, the Second Circuit held that the Trust was judicially estopped (as the successor in interest to ACC) from challenging the ownership attributions in the previously filed schedules.  Accordingly, the Second Circuit affirmed the District Court's dismissal of the Trust's complaint against Goldman.</w:t>
      </w:r>
    </w:p>
    <w:p w:rsidR="008E21BF" w:rsidRPr="00A3136F" w:rsidRDefault="008E21BF" w:rsidP="00CD669A">
      <w:pPr>
        <w:spacing w:after="0" w:line="240" w:lineRule="auto"/>
        <w:jc w:val="both"/>
        <w:rPr>
          <w:rFonts w:ascii="Times New Roman" w:hAnsi="Times New Roman" w:cs="Times New Roman"/>
        </w:rPr>
      </w:pPr>
    </w:p>
    <w:p w:rsidR="00212D67" w:rsidRPr="00A3136F" w:rsidRDefault="00212D67" w:rsidP="00CD669A">
      <w:pPr>
        <w:spacing w:after="0" w:line="240" w:lineRule="auto"/>
        <w:jc w:val="both"/>
        <w:rPr>
          <w:rFonts w:ascii="Times New Roman" w:hAnsi="Times New Roman" w:cs="Times New Roman"/>
          <w:b/>
        </w:rPr>
      </w:pPr>
      <w:proofErr w:type="spellStart"/>
      <w:r w:rsidRPr="00A3136F">
        <w:rPr>
          <w:rFonts w:ascii="Times New Roman" w:hAnsi="Times New Roman" w:cs="Times New Roman"/>
          <w:b/>
          <w:i/>
        </w:rPr>
        <w:t>Tze</w:t>
      </w:r>
      <w:proofErr w:type="spellEnd"/>
      <w:r w:rsidRPr="00A3136F">
        <w:rPr>
          <w:rFonts w:ascii="Times New Roman" w:hAnsi="Times New Roman" w:cs="Times New Roman"/>
          <w:b/>
          <w:i/>
        </w:rPr>
        <w:t xml:space="preserve"> </w:t>
      </w:r>
      <w:proofErr w:type="spellStart"/>
      <w:r w:rsidRPr="00A3136F">
        <w:rPr>
          <w:rFonts w:ascii="Times New Roman" w:hAnsi="Times New Roman" w:cs="Times New Roman"/>
          <w:b/>
          <w:i/>
        </w:rPr>
        <w:t>Wung</w:t>
      </w:r>
      <w:proofErr w:type="spellEnd"/>
      <w:r w:rsidRPr="00A3136F">
        <w:rPr>
          <w:rFonts w:ascii="Times New Roman" w:hAnsi="Times New Roman" w:cs="Times New Roman"/>
          <w:b/>
          <w:i/>
        </w:rPr>
        <w:t xml:space="preserve"> Consultants, Ltd. v. Bank of Baroda (In re </w:t>
      </w:r>
      <w:proofErr w:type="spellStart"/>
      <w:r w:rsidRPr="00A3136F">
        <w:rPr>
          <w:rFonts w:ascii="Times New Roman" w:hAnsi="Times New Roman" w:cs="Times New Roman"/>
          <w:b/>
          <w:i/>
        </w:rPr>
        <w:t>Indu</w:t>
      </w:r>
      <w:proofErr w:type="spellEnd"/>
      <w:r w:rsidRPr="00A3136F">
        <w:rPr>
          <w:rFonts w:ascii="Times New Roman" w:hAnsi="Times New Roman" w:cs="Times New Roman"/>
          <w:b/>
          <w:i/>
        </w:rPr>
        <w:t xml:space="preserve"> Craft, Inc.)</w:t>
      </w:r>
      <w:r w:rsidRPr="00A3136F">
        <w:rPr>
          <w:rFonts w:ascii="Times New Roman" w:hAnsi="Times New Roman" w:cs="Times New Roman"/>
          <w:b/>
        </w:rPr>
        <w:t xml:space="preserve">, </w:t>
      </w:r>
      <w:r w:rsidR="007A240A" w:rsidRPr="00A3136F">
        <w:rPr>
          <w:rFonts w:ascii="Times New Roman" w:hAnsi="Times New Roman" w:cs="Times New Roman"/>
          <w:b/>
        </w:rPr>
        <w:t xml:space="preserve">2014 WL 1386655 </w:t>
      </w:r>
      <w:r w:rsidRPr="00A3136F">
        <w:rPr>
          <w:rFonts w:ascii="Times New Roman" w:hAnsi="Times New Roman" w:cs="Times New Roman"/>
          <w:b/>
        </w:rPr>
        <w:t>(2d Cir. April 10, 2014)</w:t>
      </w:r>
    </w:p>
    <w:p w:rsidR="008E21BF" w:rsidRPr="00A3136F" w:rsidRDefault="008E21BF" w:rsidP="00CD669A">
      <w:pPr>
        <w:spacing w:after="0" w:line="240" w:lineRule="auto"/>
        <w:jc w:val="both"/>
        <w:rPr>
          <w:rFonts w:ascii="Times New Roman" w:hAnsi="Times New Roman" w:cs="Times New Roman"/>
          <w:b/>
        </w:rPr>
      </w:pPr>
    </w:p>
    <w:p w:rsidR="00212D67" w:rsidRPr="00A3136F" w:rsidRDefault="00212D67" w:rsidP="00CD669A">
      <w:pPr>
        <w:spacing w:after="0" w:line="240" w:lineRule="auto"/>
        <w:jc w:val="both"/>
        <w:rPr>
          <w:rFonts w:ascii="Times New Roman" w:hAnsi="Times New Roman" w:cs="Times New Roman"/>
        </w:rPr>
      </w:pP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w:t>
      </w:r>
      <w:proofErr w:type="spellEnd"/>
      <w:r w:rsidRPr="00A3136F">
        <w:rPr>
          <w:rFonts w:ascii="Times New Roman" w:hAnsi="Times New Roman" w:cs="Times New Roman"/>
        </w:rPr>
        <w:t xml:space="preserve"> Consultants, Ltd. ("</w:t>
      </w: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w:t>
      </w:r>
      <w:proofErr w:type="spellEnd"/>
      <w:r w:rsidRPr="00A3136F">
        <w:rPr>
          <w:rFonts w:ascii="Times New Roman" w:hAnsi="Times New Roman" w:cs="Times New Roman"/>
        </w:rPr>
        <w:t>") appealed from an order of the United States District Court for the Southern District of New York denying a motion for reconsideration and affirming a jud</w:t>
      </w:r>
      <w:r w:rsidR="00CD669A" w:rsidRPr="00A3136F">
        <w:rPr>
          <w:rFonts w:ascii="Times New Roman" w:hAnsi="Times New Roman" w:cs="Times New Roman"/>
        </w:rPr>
        <w:t xml:space="preserve">gment of the Bankruptcy Court. </w:t>
      </w:r>
      <w:r w:rsidRPr="00A3136F">
        <w:rPr>
          <w:rFonts w:ascii="Times New Roman" w:hAnsi="Times New Roman" w:cs="Times New Roman"/>
        </w:rPr>
        <w:t xml:space="preserve">The Bankruptcy Court had denied relief to </w:t>
      </w: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w:t>
      </w:r>
      <w:proofErr w:type="spellEnd"/>
      <w:r w:rsidRPr="00A3136F">
        <w:rPr>
          <w:rFonts w:ascii="Times New Roman" w:hAnsi="Times New Roman" w:cs="Times New Roman"/>
        </w:rPr>
        <w:t xml:space="preserve"> and related appellants </w:t>
      </w:r>
      <w:proofErr w:type="spellStart"/>
      <w:r w:rsidRPr="00A3136F">
        <w:rPr>
          <w:rFonts w:ascii="Times New Roman" w:hAnsi="Times New Roman" w:cs="Times New Roman"/>
        </w:rPr>
        <w:t>Trendi</w:t>
      </w:r>
      <w:proofErr w:type="spellEnd"/>
      <w:r w:rsidRPr="00A3136F">
        <w:rPr>
          <w:rFonts w:ascii="Times New Roman" w:hAnsi="Times New Roman" w:cs="Times New Roman"/>
        </w:rPr>
        <w:t xml:space="preserve"> Sportswear, Inc. and </w:t>
      </w:r>
      <w:proofErr w:type="spellStart"/>
      <w:r w:rsidRPr="00A3136F">
        <w:rPr>
          <w:rFonts w:ascii="Times New Roman" w:hAnsi="Times New Roman" w:cs="Times New Roman"/>
        </w:rPr>
        <w:t>Indu</w:t>
      </w:r>
      <w:proofErr w:type="spellEnd"/>
      <w:r w:rsidRPr="00A3136F">
        <w:rPr>
          <w:rFonts w:ascii="Times New Roman" w:hAnsi="Times New Roman" w:cs="Times New Roman"/>
        </w:rPr>
        <w:t xml:space="preserve"> Craft, Inc. from the confirmed plan of reor</w:t>
      </w:r>
      <w:r w:rsidR="00CD669A" w:rsidRPr="00A3136F">
        <w:rPr>
          <w:rFonts w:ascii="Times New Roman" w:hAnsi="Times New Roman" w:cs="Times New Roman"/>
        </w:rPr>
        <w:t xml:space="preserve">ganization of </w:t>
      </w:r>
      <w:proofErr w:type="spellStart"/>
      <w:r w:rsidR="00CD669A" w:rsidRPr="00A3136F">
        <w:rPr>
          <w:rFonts w:ascii="Times New Roman" w:hAnsi="Times New Roman" w:cs="Times New Roman"/>
        </w:rPr>
        <w:t>Indu</w:t>
      </w:r>
      <w:proofErr w:type="spellEnd"/>
      <w:r w:rsidR="00CD669A" w:rsidRPr="00A3136F">
        <w:rPr>
          <w:rFonts w:ascii="Times New Roman" w:hAnsi="Times New Roman" w:cs="Times New Roman"/>
        </w:rPr>
        <w:t xml:space="preserve"> Craft, Inc. </w:t>
      </w: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w:t>
      </w:r>
      <w:proofErr w:type="spellEnd"/>
      <w:r w:rsidRPr="00A3136F">
        <w:rPr>
          <w:rFonts w:ascii="Times New Roman" w:hAnsi="Times New Roman" w:cs="Times New Roman"/>
        </w:rPr>
        <w:t xml:space="preserve"> moved for reconsideration in the District Court and appealed to the Second Circuit when the motion f</w:t>
      </w:r>
      <w:r w:rsidR="00CD669A" w:rsidRPr="00A3136F">
        <w:rPr>
          <w:rFonts w:ascii="Times New Roman" w:hAnsi="Times New Roman" w:cs="Times New Roman"/>
        </w:rPr>
        <w:t xml:space="preserve">or reconsideration was denied. </w:t>
      </w: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Wung's</w:t>
      </w:r>
      <w:proofErr w:type="spellEnd"/>
      <w:r w:rsidRPr="00A3136F">
        <w:rPr>
          <w:rFonts w:ascii="Times New Roman" w:hAnsi="Times New Roman" w:cs="Times New Roman"/>
        </w:rPr>
        <w:t xml:space="preserve"> filed its appeal 51 days after the District Court entered its judgment, and not within 30 days as provided by Fed. R. App</w:t>
      </w:r>
      <w:r w:rsidR="00CD669A" w:rsidRPr="00A3136F">
        <w:rPr>
          <w:rFonts w:ascii="Times New Roman" w:hAnsi="Times New Roman" w:cs="Times New Roman"/>
        </w:rPr>
        <w:t>. Pro. 4(a</w:t>
      </w:r>
      <w:proofErr w:type="gramStart"/>
      <w:r w:rsidR="00CD669A" w:rsidRPr="00A3136F">
        <w:rPr>
          <w:rFonts w:ascii="Times New Roman" w:hAnsi="Times New Roman" w:cs="Times New Roman"/>
        </w:rPr>
        <w:t>)(</w:t>
      </w:r>
      <w:proofErr w:type="gramEnd"/>
      <w:r w:rsidR="00CD669A" w:rsidRPr="00A3136F">
        <w:rPr>
          <w:rFonts w:ascii="Times New Roman" w:hAnsi="Times New Roman" w:cs="Times New Roman"/>
        </w:rPr>
        <w:t xml:space="preserve">1)(A) and 6(b)(1). </w:t>
      </w:r>
      <w:r w:rsidRPr="00A3136F">
        <w:rPr>
          <w:rFonts w:ascii="Times New Roman" w:hAnsi="Times New Roman" w:cs="Times New Roman"/>
        </w:rPr>
        <w:t xml:space="preserve">The other appellants had timely appealed, and the appellee Bank of Baroda moved for the appeals to be consolidated, without objecting </w:t>
      </w:r>
      <w:r w:rsidR="00CD669A" w:rsidRPr="00A3136F">
        <w:rPr>
          <w:rFonts w:ascii="Times New Roman" w:hAnsi="Times New Roman" w:cs="Times New Roman"/>
        </w:rPr>
        <w:t xml:space="preserve">to </w:t>
      </w:r>
      <w:proofErr w:type="spellStart"/>
      <w:r w:rsidR="00CD669A" w:rsidRPr="00A3136F">
        <w:rPr>
          <w:rFonts w:ascii="Times New Roman" w:hAnsi="Times New Roman" w:cs="Times New Roman"/>
        </w:rPr>
        <w:t>Tze</w:t>
      </w:r>
      <w:proofErr w:type="spellEnd"/>
      <w:r w:rsidR="00CD669A" w:rsidRPr="00A3136F">
        <w:rPr>
          <w:rFonts w:ascii="Times New Roman" w:hAnsi="Times New Roman" w:cs="Times New Roman"/>
        </w:rPr>
        <w:t xml:space="preserve"> </w:t>
      </w:r>
      <w:proofErr w:type="spellStart"/>
      <w:r w:rsidR="00CD669A" w:rsidRPr="00A3136F">
        <w:rPr>
          <w:rFonts w:ascii="Times New Roman" w:hAnsi="Times New Roman" w:cs="Times New Roman"/>
        </w:rPr>
        <w:t>Wung's</w:t>
      </w:r>
      <w:proofErr w:type="spellEnd"/>
      <w:r w:rsidR="00CD669A" w:rsidRPr="00A3136F">
        <w:rPr>
          <w:rFonts w:ascii="Times New Roman" w:hAnsi="Times New Roman" w:cs="Times New Roman"/>
        </w:rPr>
        <w:t xml:space="preserve"> untimely appeal. </w:t>
      </w:r>
      <w:r w:rsidRPr="00A3136F">
        <w:rPr>
          <w:rFonts w:ascii="Times New Roman" w:hAnsi="Times New Roman" w:cs="Times New Roman"/>
        </w:rPr>
        <w:t xml:space="preserve">The Second Circuit ordered the appeals consolidated, and </w:t>
      </w:r>
      <w:proofErr w:type="spellStart"/>
      <w:r w:rsidRPr="00A3136F">
        <w:rPr>
          <w:rFonts w:ascii="Times New Roman" w:hAnsi="Times New Roman" w:cs="Times New Roman"/>
          <w:i/>
        </w:rPr>
        <w:t>sua</w:t>
      </w:r>
      <w:proofErr w:type="spellEnd"/>
      <w:r w:rsidRPr="00A3136F">
        <w:rPr>
          <w:rFonts w:ascii="Times New Roman" w:hAnsi="Times New Roman" w:cs="Times New Roman"/>
          <w:i/>
        </w:rPr>
        <w:t xml:space="preserve"> </w:t>
      </w:r>
      <w:proofErr w:type="spellStart"/>
      <w:r w:rsidRPr="00A3136F">
        <w:rPr>
          <w:rFonts w:ascii="Times New Roman" w:hAnsi="Times New Roman" w:cs="Times New Roman"/>
          <w:i/>
        </w:rPr>
        <w:t>sponte</w:t>
      </w:r>
      <w:proofErr w:type="spellEnd"/>
      <w:r w:rsidRPr="00A3136F">
        <w:rPr>
          <w:rFonts w:ascii="Times New Roman" w:hAnsi="Times New Roman" w:cs="Times New Roman"/>
        </w:rPr>
        <w:t xml:space="preserve"> ordered </w:t>
      </w: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w:t>
      </w:r>
      <w:proofErr w:type="spellEnd"/>
      <w:r w:rsidRPr="00A3136F">
        <w:rPr>
          <w:rFonts w:ascii="Times New Roman" w:hAnsi="Times New Roman" w:cs="Times New Roman"/>
        </w:rPr>
        <w:t xml:space="preserve"> and Bank of Baroda to file letter briefs on whether the Court had jurisdiction over </w:t>
      </w: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Wung's</w:t>
      </w:r>
      <w:proofErr w:type="spellEnd"/>
      <w:r w:rsidRPr="00A3136F">
        <w:rPr>
          <w:rFonts w:ascii="Times New Roman" w:hAnsi="Times New Roman" w:cs="Times New Roman"/>
        </w:rPr>
        <w:t xml:space="preserve"> untimely appeal.</w:t>
      </w:r>
    </w:p>
    <w:p w:rsidR="008E21BF" w:rsidRPr="00A3136F" w:rsidRDefault="008E21BF" w:rsidP="00CD669A">
      <w:pPr>
        <w:spacing w:after="0" w:line="240" w:lineRule="auto"/>
        <w:jc w:val="both"/>
        <w:rPr>
          <w:rFonts w:ascii="Times New Roman" w:hAnsi="Times New Roman" w:cs="Times New Roman"/>
        </w:rPr>
      </w:pPr>
    </w:p>
    <w:p w:rsidR="00212D67" w:rsidRPr="00A3136F" w:rsidRDefault="00212D67" w:rsidP="00CD669A">
      <w:pPr>
        <w:spacing w:after="0" w:line="240" w:lineRule="auto"/>
        <w:jc w:val="both"/>
        <w:rPr>
          <w:rFonts w:ascii="Times New Roman" w:hAnsi="Times New Roman" w:cs="Times New Roman"/>
        </w:rPr>
      </w:pPr>
      <w:r w:rsidRPr="00A3136F">
        <w:rPr>
          <w:rFonts w:ascii="Times New Roman" w:hAnsi="Times New Roman" w:cs="Times New Roman"/>
        </w:rPr>
        <w:t>Engaging in a textual analysis of the Rules of Appellate Procedure and relevant jurisdictional precedent, the Second Circuit determined that the 30-day time limit governing appeals from a district court's judgment as an intermediate appellate body in a bankruptcy case is a non-jurisdi</w:t>
      </w:r>
      <w:r w:rsidR="00CD669A" w:rsidRPr="00A3136F">
        <w:rPr>
          <w:rFonts w:ascii="Times New Roman" w:hAnsi="Times New Roman" w:cs="Times New Roman"/>
        </w:rPr>
        <w:t xml:space="preserve">ctional claim-processing rule. </w:t>
      </w:r>
      <w:r w:rsidRPr="00A3136F">
        <w:rPr>
          <w:rFonts w:ascii="Times New Roman" w:hAnsi="Times New Roman" w:cs="Times New Roman"/>
        </w:rPr>
        <w:t>In the absence of an objection from the opposing party, an untimely app</w:t>
      </w:r>
      <w:r w:rsidR="00CD669A" w:rsidRPr="00A3136F">
        <w:rPr>
          <w:rFonts w:ascii="Times New Roman" w:hAnsi="Times New Roman" w:cs="Times New Roman"/>
        </w:rPr>
        <w:t xml:space="preserve">eal may proceed on the merits. </w:t>
      </w:r>
      <w:r w:rsidRPr="00A3136F">
        <w:rPr>
          <w:rFonts w:ascii="Times New Roman" w:hAnsi="Times New Roman" w:cs="Times New Roman"/>
        </w:rPr>
        <w:t xml:space="preserve">As a result, the Second Circuit found that it had authority to hear </w:t>
      </w:r>
      <w:proofErr w:type="spellStart"/>
      <w:r w:rsidRPr="00A3136F">
        <w:rPr>
          <w:rFonts w:ascii="Times New Roman" w:hAnsi="Times New Roman" w:cs="Times New Roman"/>
        </w:rPr>
        <w:t>Tze</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Wung's</w:t>
      </w:r>
      <w:proofErr w:type="spellEnd"/>
      <w:r w:rsidRPr="00A3136F">
        <w:rPr>
          <w:rFonts w:ascii="Times New Roman" w:hAnsi="Times New Roman" w:cs="Times New Roman"/>
        </w:rPr>
        <w:t xml:space="preserve"> appeal and would proceed to hear the merits of that case together with the consolidated timely filed appeals.</w:t>
      </w:r>
    </w:p>
    <w:p w:rsidR="008E21BF" w:rsidRPr="00A3136F" w:rsidRDefault="008E21BF" w:rsidP="008E21BF">
      <w:pPr>
        <w:spacing w:after="0" w:line="240" w:lineRule="auto"/>
        <w:rPr>
          <w:rFonts w:ascii="Times New Roman" w:hAnsi="Times New Roman" w:cs="Times New Roman"/>
        </w:rPr>
      </w:pPr>
    </w:p>
    <w:p w:rsidR="00212D67" w:rsidRPr="00A3136F" w:rsidRDefault="006A2E0F" w:rsidP="008E21BF">
      <w:pPr>
        <w:spacing w:after="0" w:line="240" w:lineRule="auto"/>
        <w:rPr>
          <w:rFonts w:ascii="Times New Roman" w:hAnsi="Times New Roman" w:cs="Times New Roman"/>
        </w:rPr>
      </w:pPr>
      <w:r w:rsidRPr="00A3136F">
        <w:rPr>
          <w:rFonts w:ascii="Times New Roman" w:hAnsi="Times New Roman" w:cs="Times New Roman"/>
          <w:i/>
        </w:rPr>
        <w:t>Submitted by</w:t>
      </w:r>
    </w:p>
    <w:p w:rsidR="006A2E0F" w:rsidRPr="00A3136F" w:rsidRDefault="006A2E0F" w:rsidP="008E21BF">
      <w:pPr>
        <w:spacing w:after="0" w:line="240" w:lineRule="auto"/>
        <w:rPr>
          <w:rFonts w:ascii="Times New Roman" w:hAnsi="Times New Roman" w:cs="Times New Roman"/>
          <w:b/>
        </w:rPr>
      </w:pPr>
      <w:r w:rsidRPr="00A3136F">
        <w:rPr>
          <w:rFonts w:ascii="Times New Roman" w:hAnsi="Times New Roman" w:cs="Times New Roman"/>
          <w:b/>
        </w:rPr>
        <w:t xml:space="preserve">Yosef </w:t>
      </w:r>
      <w:proofErr w:type="spellStart"/>
      <w:r w:rsidRPr="00A3136F">
        <w:rPr>
          <w:rFonts w:ascii="Times New Roman" w:hAnsi="Times New Roman" w:cs="Times New Roman"/>
          <w:b/>
        </w:rPr>
        <w:t>Ibrahimi</w:t>
      </w:r>
      <w:proofErr w:type="spellEnd"/>
    </w:p>
    <w:p w:rsidR="006A2E0F" w:rsidRPr="00A3136F" w:rsidRDefault="006A2E0F" w:rsidP="008E21BF">
      <w:pPr>
        <w:spacing w:after="0" w:line="240" w:lineRule="auto"/>
        <w:rPr>
          <w:rFonts w:ascii="Times New Roman" w:hAnsi="Times New Roman" w:cs="Times New Roman"/>
        </w:rPr>
      </w:pPr>
      <w:proofErr w:type="spellStart"/>
      <w:r w:rsidRPr="00A3136F">
        <w:rPr>
          <w:rFonts w:ascii="Times New Roman" w:hAnsi="Times New Roman" w:cs="Times New Roman"/>
        </w:rPr>
        <w:t>Skadden</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Arps</w:t>
      </w:r>
      <w:proofErr w:type="spellEnd"/>
      <w:r w:rsidRPr="00A3136F">
        <w:rPr>
          <w:rFonts w:ascii="Times New Roman" w:hAnsi="Times New Roman" w:cs="Times New Roman"/>
        </w:rPr>
        <w:t xml:space="preserve">, Slate, Meagher &amp; </w:t>
      </w:r>
      <w:proofErr w:type="spellStart"/>
      <w:r w:rsidRPr="00A3136F">
        <w:rPr>
          <w:rFonts w:ascii="Times New Roman" w:hAnsi="Times New Roman" w:cs="Times New Roman"/>
        </w:rPr>
        <w:t>Flom</w:t>
      </w:r>
      <w:proofErr w:type="spellEnd"/>
      <w:r w:rsidRPr="00A3136F">
        <w:rPr>
          <w:rFonts w:ascii="Times New Roman" w:hAnsi="Times New Roman" w:cs="Times New Roman"/>
        </w:rPr>
        <w:t xml:space="preserve"> LLP</w:t>
      </w:r>
    </w:p>
    <w:p w:rsidR="006A2E0F" w:rsidRPr="00A3136F" w:rsidRDefault="006A2E0F" w:rsidP="008E21BF">
      <w:pPr>
        <w:spacing w:after="0" w:line="240" w:lineRule="auto"/>
        <w:rPr>
          <w:rFonts w:ascii="Times New Roman" w:hAnsi="Times New Roman" w:cs="Times New Roman"/>
        </w:rPr>
      </w:pPr>
      <w:r w:rsidRPr="00A3136F">
        <w:rPr>
          <w:rFonts w:ascii="Times New Roman" w:hAnsi="Times New Roman" w:cs="Times New Roman"/>
        </w:rPr>
        <w:t>Four Times Square | New York | 10036-6522</w:t>
      </w:r>
    </w:p>
    <w:p w:rsidR="006A2E0F" w:rsidRPr="00A3136F" w:rsidRDefault="006A2E0F" w:rsidP="008E21BF">
      <w:pPr>
        <w:spacing w:after="0" w:line="240" w:lineRule="auto"/>
        <w:rPr>
          <w:rFonts w:ascii="Times New Roman" w:hAnsi="Times New Roman" w:cs="Times New Roman"/>
        </w:rPr>
      </w:pPr>
      <w:r w:rsidRPr="00A3136F">
        <w:rPr>
          <w:rFonts w:ascii="Times New Roman" w:hAnsi="Times New Roman" w:cs="Times New Roman"/>
        </w:rPr>
        <w:lastRenderedPageBreak/>
        <w:t>T: 212.735.2562 | F: 917.777.2562</w:t>
      </w:r>
    </w:p>
    <w:p w:rsidR="00F30537" w:rsidRPr="00A3136F" w:rsidRDefault="00F30537" w:rsidP="008E21BF">
      <w:pPr>
        <w:spacing w:after="0" w:line="240" w:lineRule="auto"/>
        <w:rPr>
          <w:rFonts w:ascii="Times New Roman" w:hAnsi="Times New Roman" w:cs="Times New Roman"/>
          <w:b/>
        </w:rPr>
      </w:pPr>
    </w:p>
    <w:p w:rsidR="00CD669A" w:rsidRPr="00A3136F" w:rsidRDefault="00CD669A" w:rsidP="00187CA9">
      <w:pPr>
        <w:spacing w:after="0" w:line="240" w:lineRule="auto"/>
        <w:rPr>
          <w:rFonts w:ascii="Times New Roman" w:hAnsi="Times New Roman" w:cs="Times New Roman"/>
          <w:b/>
          <w:u w:val="single"/>
        </w:rPr>
      </w:pPr>
    </w:p>
    <w:p w:rsidR="001671FA" w:rsidRPr="00A3136F" w:rsidRDefault="001671FA" w:rsidP="00187CA9">
      <w:pPr>
        <w:spacing w:after="0" w:line="240" w:lineRule="auto"/>
        <w:rPr>
          <w:rFonts w:ascii="Times New Roman" w:hAnsi="Times New Roman" w:cs="Times New Roman"/>
          <w:b/>
          <w:u w:val="single"/>
        </w:rPr>
      </w:pPr>
      <w:r w:rsidRPr="00A3136F">
        <w:rPr>
          <w:rFonts w:ascii="Times New Roman" w:hAnsi="Times New Roman" w:cs="Times New Roman"/>
          <w:b/>
          <w:u w:val="single"/>
        </w:rPr>
        <w:t>Fourth Circuit</w:t>
      </w:r>
    </w:p>
    <w:p w:rsidR="00845277" w:rsidRPr="00A3136F" w:rsidRDefault="00845277" w:rsidP="008E21BF">
      <w:pPr>
        <w:spacing w:after="0" w:line="240" w:lineRule="auto"/>
        <w:rPr>
          <w:rFonts w:ascii="Times New Roman" w:hAnsi="Times New Roman" w:cs="Times New Roman"/>
          <w:b/>
          <w:u w:val="single"/>
        </w:rPr>
      </w:pPr>
    </w:p>
    <w:p w:rsidR="00845277" w:rsidRPr="00A3136F" w:rsidRDefault="00845277" w:rsidP="008E21BF">
      <w:pPr>
        <w:spacing w:after="0" w:line="240" w:lineRule="auto"/>
        <w:rPr>
          <w:rFonts w:ascii="Times New Roman" w:hAnsi="Times New Roman" w:cs="Times New Roman"/>
          <w:b/>
        </w:rPr>
      </w:pPr>
      <w:proofErr w:type="spellStart"/>
      <w:r w:rsidRPr="00A3136F">
        <w:rPr>
          <w:rFonts w:ascii="Times New Roman" w:hAnsi="Times New Roman" w:cs="Times New Roman"/>
          <w:b/>
          <w:i/>
        </w:rPr>
        <w:t>Pliler</w:t>
      </w:r>
      <w:proofErr w:type="spellEnd"/>
      <w:r w:rsidRPr="00A3136F">
        <w:rPr>
          <w:rFonts w:ascii="Times New Roman" w:hAnsi="Times New Roman" w:cs="Times New Roman"/>
          <w:b/>
          <w:i/>
        </w:rPr>
        <w:t xml:space="preserve"> v. Stearns</w:t>
      </w:r>
      <w:r w:rsidRPr="00A3136F">
        <w:rPr>
          <w:rFonts w:ascii="Times New Roman" w:hAnsi="Times New Roman" w:cs="Times New Roman"/>
          <w:b/>
        </w:rPr>
        <w:t xml:space="preserve"> (</w:t>
      </w:r>
      <w:r w:rsidRPr="00A3136F">
        <w:rPr>
          <w:rFonts w:ascii="Times New Roman" w:hAnsi="Times New Roman" w:cs="Times New Roman"/>
          <w:b/>
          <w:i/>
        </w:rPr>
        <w:t xml:space="preserve">In re </w:t>
      </w:r>
      <w:proofErr w:type="spellStart"/>
      <w:r w:rsidRPr="00A3136F">
        <w:rPr>
          <w:rFonts w:ascii="Times New Roman" w:hAnsi="Times New Roman" w:cs="Times New Roman"/>
          <w:b/>
          <w:i/>
        </w:rPr>
        <w:t>Pliler</w:t>
      </w:r>
      <w:proofErr w:type="spellEnd"/>
      <w:r w:rsidR="007A240A" w:rsidRPr="00A3136F">
        <w:rPr>
          <w:rFonts w:ascii="Times New Roman" w:hAnsi="Times New Roman" w:cs="Times New Roman"/>
          <w:b/>
        </w:rPr>
        <w:t>),</w:t>
      </w:r>
      <w:r w:rsidRPr="00A3136F">
        <w:rPr>
          <w:rFonts w:ascii="Times New Roman" w:hAnsi="Times New Roman" w:cs="Times New Roman"/>
          <w:b/>
        </w:rPr>
        <w:t xml:space="preserve"> </w:t>
      </w:r>
      <w:r w:rsidR="007A240A" w:rsidRPr="00A3136F">
        <w:rPr>
          <w:rFonts w:ascii="Times New Roman" w:hAnsi="Times New Roman" w:cs="Times New Roman"/>
          <w:b/>
        </w:rPr>
        <w:t xml:space="preserve">747 F.3d 260 </w:t>
      </w:r>
      <w:r w:rsidRPr="00A3136F">
        <w:rPr>
          <w:rFonts w:ascii="Times New Roman" w:hAnsi="Times New Roman" w:cs="Times New Roman"/>
          <w:b/>
        </w:rPr>
        <w:t>(4th Cir. March 28, 2014)</w:t>
      </w:r>
    </w:p>
    <w:p w:rsidR="008E21BF" w:rsidRPr="00A3136F" w:rsidRDefault="008E21BF" w:rsidP="008E21BF">
      <w:pPr>
        <w:spacing w:after="0" w:line="240" w:lineRule="auto"/>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rPr>
      </w:pPr>
      <w:r w:rsidRPr="00A3136F">
        <w:rPr>
          <w:rFonts w:ascii="Times New Roman" w:hAnsi="Times New Roman" w:cs="Times New Roman"/>
        </w:rPr>
        <w:t>On March 28, 2014, the Fourth Circuit, on a direct appeal from the bankruptcy court affirmed and remanded, in a unanimous opinion, the bankruptcy court's ruling that above-median-income chapter 13 debtors with negative disposable monthly income must maintain their chapter 13 plan for five years unless unsecur</w:t>
      </w:r>
      <w:r w:rsidR="00CD669A" w:rsidRPr="00A3136F">
        <w:rPr>
          <w:rFonts w:ascii="Times New Roman" w:hAnsi="Times New Roman" w:cs="Times New Roman"/>
        </w:rPr>
        <w:t xml:space="preserve">ed creditors are paid in full. </w:t>
      </w:r>
      <w:r w:rsidRPr="00A3136F">
        <w:rPr>
          <w:rFonts w:ascii="Times New Roman" w:hAnsi="Times New Roman" w:cs="Times New Roman"/>
        </w:rPr>
        <w:t>The debtors plan proposed payments to secured creditors and attorneys' fees, but unsecured credi</w:t>
      </w:r>
      <w:r w:rsidR="00CD669A" w:rsidRPr="00A3136F">
        <w:rPr>
          <w:rFonts w:ascii="Times New Roman" w:hAnsi="Times New Roman" w:cs="Times New Roman"/>
        </w:rPr>
        <w:t xml:space="preserve">tors received no distribution. </w:t>
      </w:r>
      <w:r w:rsidRPr="00A3136F">
        <w:rPr>
          <w:rFonts w:ascii="Times New Roman" w:hAnsi="Times New Roman" w:cs="Times New Roman"/>
        </w:rPr>
        <w:t xml:space="preserve">The plan also proposed a contingency by which it would terminate at 55 </w:t>
      </w:r>
      <w:r w:rsidR="00CD669A" w:rsidRPr="00A3136F">
        <w:rPr>
          <w:rFonts w:ascii="Times New Roman" w:hAnsi="Times New Roman" w:cs="Times New Roman"/>
        </w:rPr>
        <w:t xml:space="preserve">months, rather than 60 months. </w:t>
      </w:r>
      <w:r w:rsidRPr="00A3136F">
        <w:rPr>
          <w:rFonts w:ascii="Times New Roman" w:hAnsi="Times New Roman" w:cs="Times New Roman"/>
        </w:rPr>
        <w:t xml:space="preserve">The chapter 13 trustee objected to the plan, arguing that the debtors failed to meet </w:t>
      </w:r>
      <w:r w:rsidR="00CD669A" w:rsidRPr="00A3136F">
        <w:rPr>
          <w:rFonts w:ascii="Times New Roman" w:hAnsi="Times New Roman" w:cs="Times New Roman"/>
        </w:rPr>
        <w:t xml:space="preserve">the requirement of good faith. </w:t>
      </w:r>
      <w:r w:rsidRPr="00A3136F">
        <w:rPr>
          <w:rFonts w:ascii="Times New Roman" w:hAnsi="Times New Roman" w:cs="Times New Roman"/>
        </w:rPr>
        <w:t xml:space="preserve">The bankruptcy court, however, overruled the trustee's objection.  But, the bankruptcy court revised the plan to terminate </w:t>
      </w:r>
      <w:r w:rsidRPr="00A3136F">
        <w:rPr>
          <w:rFonts w:ascii="Times New Roman" w:hAnsi="Times New Roman" w:cs="Times New Roman"/>
          <w:i/>
        </w:rPr>
        <w:t xml:space="preserve">only </w:t>
      </w:r>
      <w:r w:rsidRPr="00A3136F">
        <w:rPr>
          <w:rFonts w:ascii="Times New Roman" w:hAnsi="Times New Roman" w:cs="Times New Roman"/>
        </w:rPr>
        <w:t xml:space="preserve">after 60 months, and, in turn, unsecured creditors would receive an 84% dividend.  </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The Fourth Circuit affirmed the bankruptcy court, reasoning that under the Bankruptcy Code "'the applicable commitment period' is a temporal requirement", regardless of the fact that the debtors </w:t>
      </w:r>
      <w:r w:rsidR="00CD669A" w:rsidRPr="00A3136F">
        <w:rPr>
          <w:rFonts w:ascii="Times New Roman" w:hAnsi="Times New Roman" w:cs="Times New Roman"/>
        </w:rPr>
        <w:t xml:space="preserve">had a negative monthly income. </w:t>
      </w:r>
      <w:r w:rsidRPr="00A3136F">
        <w:rPr>
          <w:rFonts w:ascii="Times New Roman" w:hAnsi="Times New Roman" w:cs="Times New Roman"/>
        </w:rPr>
        <w:t>Above-median-income debtors with negative disposable monthly income must maintain their chapter 13 plan for five years if unsecured creditors have not been paid in full.</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b/>
        </w:rPr>
      </w:pPr>
      <w:proofErr w:type="spellStart"/>
      <w:r w:rsidRPr="00A3136F">
        <w:rPr>
          <w:rFonts w:ascii="Times New Roman" w:hAnsi="Times New Roman" w:cs="Times New Roman"/>
          <w:b/>
          <w:i/>
        </w:rPr>
        <w:t>McDow</w:t>
      </w:r>
      <w:proofErr w:type="spellEnd"/>
      <w:r w:rsidRPr="00A3136F">
        <w:rPr>
          <w:rFonts w:ascii="Times New Roman" w:hAnsi="Times New Roman" w:cs="Times New Roman"/>
          <w:b/>
          <w:i/>
        </w:rPr>
        <w:t xml:space="preserve"> v. Bane</w:t>
      </w:r>
      <w:r w:rsidRPr="00A3136F">
        <w:rPr>
          <w:rFonts w:ascii="Times New Roman" w:hAnsi="Times New Roman" w:cs="Times New Roman"/>
          <w:b/>
        </w:rPr>
        <w:t xml:space="preserve"> (</w:t>
      </w:r>
      <w:r w:rsidRPr="00A3136F">
        <w:rPr>
          <w:rFonts w:ascii="Times New Roman" w:hAnsi="Times New Roman" w:cs="Times New Roman"/>
          <w:b/>
          <w:i/>
        </w:rPr>
        <w:t>In re Bane</w:t>
      </w:r>
      <w:r w:rsidR="009C3EC8" w:rsidRPr="00A3136F">
        <w:rPr>
          <w:rFonts w:ascii="Times New Roman" w:hAnsi="Times New Roman" w:cs="Times New Roman"/>
          <w:b/>
        </w:rPr>
        <w:t>), 2014 WL 1378313</w:t>
      </w:r>
      <w:r w:rsidRPr="00A3136F">
        <w:rPr>
          <w:rFonts w:ascii="Times New Roman" w:hAnsi="Times New Roman" w:cs="Times New Roman"/>
          <w:b/>
        </w:rPr>
        <w:t>, 2014 U.S. App. LEXIS 6516 (4th Cir. April 9, 2014)</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On April 9, 2014, in a per </w:t>
      </w:r>
      <w:proofErr w:type="spellStart"/>
      <w:r w:rsidRPr="00A3136F">
        <w:rPr>
          <w:rFonts w:ascii="Times New Roman" w:hAnsi="Times New Roman" w:cs="Times New Roman"/>
        </w:rPr>
        <w:t>curiam</w:t>
      </w:r>
      <w:proofErr w:type="spellEnd"/>
      <w:r w:rsidRPr="00A3136F">
        <w:rPr>
          <w:rFonts w:ascii="Times New Roman" w:hAnsi="Times New Roman" w:cs="Times New Roman"/>
        </w:rPr>
        <w:t xml:space="preserve"> opinion, the Fourth Circuit affirmed the decision of the district court and bankruptcy court, which entered an order denying the debtor's d</w:t>
      </w:r>
      <w:r w:rsidR="00CD669A" w:rsidRPr="00A3136F">
        <w:rPr>
          <w:rFonts w:ascii="Times New Roman" w:hAnsi="Times New Roman" w:cs="Times New Roman"/>
        </w:rPr>
        <w:t>ischarge under § 727(a</w:t>
      </w:r>
      <w:proofErr w:type="gramStart"/>
      <w:r w:rsidR="00CD669A" w:rsidRPr="00A3136F">
        <w:rPr>
          <w:rFonts w:ascii="Times New Roman" w:hAnsi="Times New Roman" w:cs="Times New Roman"/>
        </w:rPr>
        <w:t>)(</w:t>
      </w:r>
      <w:proofErr w:type="gramEnd"/>
      <w:r w:rsidR="00CD669A" w:rsidRPr="00A3136F">
        <w:rPr>
          <w:rFonts w:ascii="Times New Roman" w:hAnsi="Times New Roman" w:cs="Times New Roman"/>
        </w:rPr>
        <w:t xml:space="preserve">2)(A). </w:t>
      </w:r>
      <w:r w:rsidRPr="00A3136F">
        <w:rPr>
          <w:rFonts w:ascii="Times New Roman" w:hAnsi="Times New Roman" w:cs="Times New Roman"/>
        </w:rPr>
        <w:t xml:space="preserve">Prepetition a corporation wholly-owned by the debtor purchased land from the debtor's mother, secured by a deed of </w:t>
      </w:r>
      <w:r w:rsidR="00CD669A" w:rsidRPr="00A3136F">
        <w:rPr>
          <w:rFonts w:ascii="Times New Roman" w:hAnsi="Times New Roman" w:cs="Times New Roman"/>
        </w:rPr>
        <w:t xml:space="preserve">trust that was never recorded. </w:t>
      </w:r>
      <w:r w:rsidRPr="00A3136F">
        <w:rPr>
          <w:rFonts w:ascii="Times New Roman" w:hAnsi="Times New Roman" w:cs="Times New Roman"/>
        </w:rPr>
        <w:t>The corporation then obtained a loan from a bank, secured by a properly recorded deed of tru</w:t>
      </w:r>
      <w:r w:rsidR="00CD669A" w:rsidRPr="00A3136F">
        <w:rPr>
          <w:rFonts w:ascii="Times New Roman" w:hAnsi="Times New Roman" w:cs="Times New Roman"/>
        </w:rPr>
        <w:t xml:space="preserve">st on the same parcel of land. </w:t>
      </w:r>
      <w:r w:rsidRPr="00A3136F">
        <w:rPr>
          <w:rFonts w:ascii="Times New Roman" w:hAnsi="Times New Roman" w:cs="Times New Roman"/>
        </w:rPr>
        <w:t>When the corporation defaulted on the bank loan, the bank noticed a foreclosure, but, the day before the foreclosure sale, the debtor transferred the land from the corporation to himself.  Shortly thereafter he filed a</w:t>
      </w:r>
      <w:r w:rsidR="00CD669A" w:rsidRPr="00A3136F">
        <w:rPr>
          <w:rFonts w:ascii="Times New Roman" w:hAnsi="Times New Roman" w:cs="Times New Roman"/>
        </w:rPr>
        <w:t xml:space="preserve"> voluntary chapter 7 petition. </w:t>
      </w:r>
      <w:r w:rsidRPr="00A3136F">
        <w:rPr>
          <w:rFonts w:ascii="Times New Roman" w:hAnsi="Times New Roman" w:cs="Times New Roman"/>
        </w:rPr>
        <w:t xml:space="preserve">Within a few months, the debtor moved to dismiss his bankruptcy </w:t>
      </w:r>
      <w:r w:rsidR="00CD669A" w:rsidRPr="00A3136F">
        <w:rPr>
          <w:rFonts w:ascii="Times New Roman" w:hAnsi="Times New Roman" w:cs="Times New Roman"/>
        </w:rPr>
        <w:t xml:space="preserve">case, which the court granted. </w:t>
      </w:r>
      <w:r w:rsidRPr="00A3136F">
        <w:rPr>
          <w:rFonts w:ascii="Times New Roman" w:hAnsi="Times New Roman" w:cs="Times New Roman"/>
        </w:rPr>
        <w:t>Again, the bank noticed a foreclosure sale, but next the debtor transferred a 90% interest in t</w:t>
      </w:r>
      <w:r w:rsidR="00CD669A" w:rsidRPr="00A3136F">
        <w:rPr>
          <w:rFonts w:ascii="Times New Roman" w:hAnsi="Times New Roman" w:cs="Times New Roman"/>
        </w:rPr>
        <w:t xml:space="preserve">he land to his mother for $10. </w:t>
      </w:r>
      <w:r w:rsidRPr="00A3136F">
        <w:rPr>
          <w:rFonts w:ascii="Times New Roman" w:hAnsi="Times New Roman" w:cs="Times New Roman"/>
        </w:rPr>
        <w:t>The deed of that conveyance was recorded days before the foreclosure sale, and, again, the debt</w:t>
      </w:r>
      <w:r w:rsidR="00CD669A" w:rsidRPr="00A3136F">
        <w:rPr>
          <w:rFonts w:ascii="Times New Roman" w:hAnsi="Times New Roman" w:cs="Times New Roman"/>
        </w:rPr>
        <w:t xml:space="preserve">or filed for chapter 7 relief. </w:t>
      </w:r>
      <w:r w:rsidRPr="00A3136F">
        <w:rPr>
          <w:rFonts w:ascii="Times New Roman" w:hAnsi="Times New Roman" w:cs="Times New Roman"/>
        </w:rPr>
        <w:t>The Office of the United States Trustee sued the debtor seeking denial of his discharge, not only the basis that the transfer to his mother was done with the intent to hinder his creditors but also because the debtor failed to disclose in</w:t>
      </w:r>
      <w:r w:rsidR="00CD669A" w:rsidRPr="00A3136F">
        <w:rPr>
          <w:rFonts w:ascii="Times New Roman" w:hAnsi="Times New Roman" w:cs="Times New Roman"/>
        </w:rPr>
        <w:t xml:space="preserve"> his schedules various assets. </w:t>
      </w:r>
      <w:r w:rsidRPr="00A3136F">
        <w:rPr>
          <w:rFonts w:ascii="Times New Roman" w:hAnsi="Times New Roman" w:cs="Times New Roman"/>
        </w:rPr>
        <w:t>The bankruptcy court noted that the transfer from the debtor to his mother bore badges of fraud and denied the debtor a discharge, whic</w:t>
      </w:r>
      <w:r w:rsidR="00CD669A" w:rsidRPr="00A3136F">
        <w:rPr>
          <w:rFonts w:ascii="Times New Roman" w:hAnsi="Times New Roman" w:cs="Times New Roman"/>
        </w:rPr>
        <w:t xml:space="preserve">h the district court affirmed. </w:t>
      </w:r>
      <w:r w:rsidRPr="00A3136F">
        <w:rPr>
          <w:rFonts w:ascii="Times New Roman" w:hAnsi="Times New Roman" w:cs="Times New Roman"/>
        </w:rPr>
        <w:t>The Fourth Circuit affirmed that decision on the papers, without oral argument.</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b/>
        </w:rPr>
      </w:pPr>
      <w:r w:rsidRPr="00A3136F">
        <w:rPr>
          <w:rFonts w:ascii="Times New Roman" w:hAnsi="Times New Roman" w:cs="Times New Roman"/>
          <w:b/>
          <w:i/>
        </w:rPr>
        <w:t xml:space="preserve">Anderson v. Architectural Glass Constr., Inc. </w:t>
      </w:r>
      <w:r w:rsidRPr="00A3136F">
        <w:rPr>
          <w:rFonts w:ascii="Times New Roman" w:hAnsi="Times New Roman" w:cs="Times New Roman"/>
          <w:b/>
        </w:rPr>
        <w:t>(</w:t>
      </w:r>
      <w:r w:rsidRPr="00A3136F">
        <w:rPr>
          <w:rFonts w:ascii="Times New Roman" w:hAnsi="Times New Roman" w:cs="Times New Roman"/>
          <w:b/>
          <w:i/>
        </w:rPr>
        <w:t xml:space="preserve">In re </w:t>
      </w:r>
      <w:proofErr w:type="spellStart"/>
      <w:r w:rsidRPr="00A3136F">
        <w:rPr>
          <w:rFonts w:ascii="Times New Roman" w:hAnsi="Times New Roman" w:cs="Times New Roman"/>
          <w:b/>
          <w:i/>
        </w:rPr>
        <w:t>Pfister</w:t>
      </w:r>
      <w:proofErr w:type="spellEnd"/>
      <w:r w:rsidRPr="00A3136F">
        <w:rPr>
          <w:rFonts w:ascii="Times New Roman" w:hAnsi="Times New Roman" w:cs="Times New Roman"/>
          <w:b/>
        </w:rPr>
        <w:t xml:space="preserve">), </w:t>
      </w:r>
      <w:r w:rsidR="009C3EC8" w:rsidRPr="00A3136F">
        <w:rPr>
          <w:rFonts w:ascii="Times New Roman" w:hAnsi="Times New Roman" w:cs="Times New Roman"/>
          <w:b/>
        </w:rPr>
        <w:t>2014 WL 1492713</w:t>
      </w:r>
      <w:r w:rsidRPr="00A3136F">
        <w:rPr>
          <w:rFonts w:ascii="Times New Roman" w:hAnsi="Times New Roman" w:cs="Times New Roman"/>
          <w:b/>
        </w:rPr>
        <w:t>, 2014 U.S. App. LEXIS 7219 (4th Cir. April 17, 2014)</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rPr>
      </w:pPr>
      <w:r w:rsidRPr="00A3136F">
        <w:rPr>
          <w:rFonts w:ascii="Times New Roman" w:hAnsi="Times New Roman" w:cs="Times New Roman"/>
        </w:rPr>
        <w:t>On April 17, 2014, the Fourth Circuit, in a 2-1 decision, reversed and vacated the district court's decision on the issue of a fraudulent conveyance between a debtor and a corporation wholly owned by</w:t>
      </w:r>
      <w:r w:rsidR="00CD669A" w:rsidRPr="00A3136F">
        <w:rPr>
          <w:rFonts w:ascii="Times New Roman" w:hAnsi="Times New Roman" w:cs="Times New Roman"/>
        </w:rPr>
        <w:t xml:space="preserve"> her husband. </w:t>
      </w:r>
      <w:r w:rsidRPr="00A3136F">
        <w:rPr>
          <w:rFonts w:ascii="Times New Roman" w:hAnsi="Times New Roman" w:cs="Times New Roman"/>
        </w:rPr>
        <w:t>Seven months before the petition date, the debtor transferred her on-half interest in real property to Architectural Glass Construction, Inc. ("</w:t>
      </w:r>
      <w:r w:rsidRPr="00A3136F">
        <w:rPr>
          <w:rFonts w:ascii="Times New Roman" w:hAnsi="Times New Roman" w:cs="Times New Roman"/>
          <w:i/>
        </w:rPr>
        <w:t>AGC</w:t>
      </w:r>
      <w:r w:rsidRPr="00A3136F">
        <w:rPr>
          <w:rFonts w:ascii="Times New Roman" w:hAnsi="Times New Roman" w:cs="Times New Roman"/>
        </w:rPr>
        <w:t>")—an interest valued at $270,000 by the chapter 7 trustee—in exchange for $10 paid to both the debtor and her husband, th</w:t>
      </w:r>
      <w:r w:rsidR="00CD669A" w:rsidRPr="00A3136F">
        <w:rPr>
          <w:rFonts w:ascii="Times New Roman" w:hAnsi="Times New Roman" w:cs="Times New Roman"/>
        </w:rPr>
        <w:t xml:space="preserve">e other owner of the property. </w:t>
      </w:r>
      <w:r w:rsidRPr="00A3136F">
        <w:rPr>
          <w:rFonts w:ascii="Times New Roman" w:hAnsi="Times New Roman" w:cs="Times New Roman"/>
        </w:rPr>
        <w:t>The trustee sued AGC to set aside the conveyance as fraudulent under §§ 544 and 548, arguing that the transfer was not for reasonably equivalent value and that the debtor was insolvent at the time</w:t>
      </w:r>
      <w:r w:rsidR="00CD669A" w:rsidRPr="00A3136F">
        <w:rPr>
          <w:rFonts w:ascii="Times New Roman" w:hAnsi="Times New Roman" w:cs="Times New Roman"/>
        </w:rPr>
        <w:t xml:space="preserve"> of the </w:t>
      </w:r>
      <w:r w:rsidR="00CD669A" w:rsidRPr="00A3136F">
        <w:rPr>
          <w:rFonts w:ascii="Times New Roman" w:hAnsi="Times New Roman" w:cs="Times New Roman"/>
        </w:rPr>
        <w:lastRenderedPageBreak/>
        <w:t>transfer.</w:t>
      </w:r>
      <w:r w:rsidRPr="00A3136F">
        <w:rPr>
          <w:rFonts w:ascii="Times New Roman" w:hAnsi="Times New Roman" w:cs="Times New Roman"/>
        </w:rPr>
        <w:t xml:space="preserve"> AGC argued that it had owned the property for years due to a resulting trust in its favor, which </w:t>
      </w:r>
      <w:r w:rsidR="00CD669A" w:rsidRPr="00A3136F">
        <w:rPr>
          <w:rFonts w:ascii="Times New Roman" w:hAnsi="Times New Roman" w:cs="Times New Roman"/>
        </w:rPr>
        <w:t xml:space="preserve">the bankruptcy court rejected. </w:t>
      </w:r>
      <w:r w:rsidRPr="00A3136F">
        <w:rPr>
          <w:rFonts w:ascii="Times New Roman" w:hAnsi="Times New Roman" w:cs="Times New Roman"/>
        </w:rPr>
        <w:t>The district court, however, reversed, holding that the facts supported a resulting trust, namely AGC's use of the property and payment of the mortgage due on the property.</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rPr>
      </w:pPr>
      <w:r w:rsidRPr="00A3136F">
        <w:rPr>
          <w:rFonts w:ascii="Times New Roman" w:hAnsi="Times New Roman" w:cs="Times New Roman"/>
        </w:rPr>
        <w:t>The Fourth Circuit reversed and remanded on the basis that the bankruptcy court's findings of fa</w:t>
      </w:r>
      <w:r w:rsidR="00CD669A" w:rsidRPr="00A3136F">
        <w:rPr>
          <w:rFonts w:ascii="Times New Roman" w:hAnsi="Times New Roman" w:cs="Times New Roman"/>
        </w:rPr>
        <w:t xml:space="preserve">ct were not clearly erroneous. </w:t>
      </w:r>
      <w:r w:rsidRPr="00A3136F">
        <w:rPr>
          <w:rFonts w:ascii="Times New Roman" w:hAnsi="Times New Roman" w:cs="Times New Roman"/>
        </w:rPr>
        <w:t>The bankruptcy court sufficient facts to support a fraudulent conveyance and that no resulting trust existed, but the district court reversed, even though it expressly accepted the bankruptcy court's findings of fact. In analyzing South Carolina law concerning gifts and resulting trusts, the Fourth Circuit found that the facts were insufficient to support the basis of a trust and vacated and remanded the</w:t>
      </w:r>
      <w:r w:rsidR="00CD669A" w:rsidRPr="00A3136F">
        <w:rPr>
          <w:rFonts w:ascii="Times New Roman" w:hAnsi="Times New Roman" w:cs="Times New Roman"/>
        </w:rPr>
        <w:t xml:space="preserve"> case for further proceedings. </w:t>
      </w:r>
      <w:r w:rsidRPr="00A3136F">
        <w:rPr>
          <w:rFonts w:ascii="Times New Roman" w:hAnsi="Times New Roman" w:cs="Times New Roman"/>
        </w:rPr>
        <w:t xml:space="preserve">The dissent disagreed, stating that a resulting trust did exist in favor of AGC, noting that the bankruptcy court provided no analysis to support its conclusory statement that no resulting trust existed.  </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b/>
        </w:rPr>
      </w:pPr>
      <w:r w:rsidRPr="00A3136F">
        <w:rPr>
          <w:rFonts w:ascii="Times New Roman" w:hAnsi="Times New Roman" w:cs="Times New Roman"/>
          <w:b/>
          <w:i/>
        </w:rPr>
        <w:t>In re Rowe</w:t>
      </w:r>
      <w:r w:rsidRPr="00A3136F">
        <w:rPr>
          <w:rFonts w:ascii="Times New Roman" w:hAnsi="Times New Roman" w:cs="Times New Roman"/>
          <w:b/>
        </w:rPr>
        <w:t xml:space="preserve">, </w:t>
      </w:r>
      <w:r w:rsidR="009C3EC8" w:rsidRPr="00A3136F">
        <w:rPr>
          <w:rFonts w:ascii="Times New Roman" w:hAnsi="Times New Roman" w:cs="Times New Roman"/>
          <w:b/>
        </w:rPr>
        <w:t>2014 WL 1663329</w:t>
      </w:r>
      <w:r w:rsidRPr="00A3136F">
        <w:rPr>
          <w:rFonts w:ascii="Times New Roman" w:hAnsi="Times New Roman" w:cs="Times New Roman"/>
          <w:b/>
        </w:rPr>
        <w:t>, 2014 U.S. App. LEXIS 7900 (4th Cir. April 28, 2014)</w:t>
      </w:r>
    </w:p>
    <w:p w:rsidR="00CD669A" w:rsidRPr="00A3136F" w:rsidRDefault="00CD669A"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rPr>
      </w:pPr>
      <w:r w:rsidRPr="00A3136F">
        <w:rPr>
          <w:rFonts w:ascii="Times New Roman" w:hAnsi="Times New Roman" w:cs="Times New Roman"/>
        </w:rPr>
        <w:t>On April 28, 2014, the Fourth Circuit became the first circuit court of appeals to address whether and how chapter 7 trustees may be comp</w:t>
      </w:r>
      <w:r w:rsidR="00CD669A" w:rsidRPr="00A3136F">
        <w:rPr>
          <w:rFonts w:ascii="Times New Roman" w:hAnsi="Times New Roman" w:cs="Times New Roman"/>
        </w:rPr>
        <w:t xml:space="preserve">ensated on a commission basis. </w:t>
      </w:r>
      <w:r w:rsidRPr="00A3136F">
        <w:rPr>
          <w:rFonts w:ascii="Times New Roman" w:hAnsi="Times New Roman" w:cs="Times New Roman"/>
        </w:rPr>
        <w:t xml:space="preserve">The Fourth Circuit reversed and remanded the lower </w:t>
      </w:r>
      <w:r w:rsidR="00CD669A" w:rsidRPr="00A3136F">
        <w:rPr>
          <w:rFonts w:ascii="Times New Roman" w:hAnsi="Times New Roman" w:cs="Times New Roman"/>
        </w:rPr>
        <w:t xml:space="preserve">courts' decisions, holding that </w:t>
      </w:r>
      <w:r w:rsidRPr="00A3136F">
        <w:rPr>
          <w:rFonts w:ascii="Times New Roman" w:hAnsi="Times New Roman" w:cs="Times New Roman"/>
        </w:rPr>
        <w:t>"absent extraordinary circumstances, Chapter 7 trustees must be paid on a commission basis, as required by</w:t>
      </w:r>
      <w:r w:rsidR="00CD669A" w:rsidRPr="00A3136F">
        <w:rPr>
          <w:rFonts w:ascii="Times New Roman" w:hAnsi="Times New Roman" w:cs="Times New Roman"/>
        </w:rPr>
        <w:t xml:space="preserve"> 11 U.S.C. § 330(a</w:t>
      </w:r>
      <w:proofErr w:type="gramStart"/>
      <w:r w:rsidR="00CD669A" w:rsidRPr="00A3136F">
        <w:rPr>
          <w:rFonts w:ascii="Times New Roman" w:hAnsi="Times New Roman" w:cs="Times New Roman"/>
        </w:rPr>
        <w:t>)(</w:t>
      </w:r>
      <w:proofErr w:type="gramEnd"/>
      <w:r w:rsidR="00CD669A" w:rsidRPr="00A3136F">
        <w:rPr>
          <w:rFonts w:ascii="Times New Roman" w:hAnsi="Times New Roman" w:cs="Times New Roman"/>
        </w:rPr>
        <w:t>7)."</w:t>
      </w:r>
      <w:r w:rsidRPr="00A3136F">
        <w:rPr>
          <w:rFonts w:ascii="Times New Roman" w:hAnsi="Times New Roman" w:cs="Times New Roman"/>
        </w:rPr>
        <w:t xml:space="preserve"> The trustee had requested a fee of approximately $17,000, but, on a finding that the trustee had failed to complete timely or properly his duties, the bankruptcy court reduced that fee to approximately $8,000, which the district c</w:t>
      </w:r>
      <w:r w:rsidR="00CD669A" w:rsidRPr="00A3136F">
        <w:rPr>
          <w:rFonts w:ascii="Times New Roman" w:hAnsi="Times New Roman" w:cs="Times New Roman"/>
        </w:rPr>
        <w:t xml:space="preserve">ourt affirmed. </w:t>
      </w:r>
      <w:r w:rsidRPr="00A3136F">
        <w:rPr>
          <w:rFonts w:ascii="Times New Roman" w:hAnsi="Times New Roman" w:cs="Times New Roman"/>
        </w:rPr>
        <w:t xml:space="preserve">The trustee appealed, arguing that the bankruptcy court erred in not awarding </w:t>
      </w:r>
      <w:r w:rsidR="00CD669A" w:rsidRPr="00A3136F">
        <w:rPr>
          <w:rFonts w:ascii="Times New Roman" w:hAnsi="Times New Roman" w:cs="Times New Roman"/>
        </w:rPr>
        <w:t xml:space="preserve">to him a commission-based fee. </w:t>
      </w:r>
      <w:r w:rsidRPr="00A3136F">
        <w:rPr>
          <w:rFonts w:ascii="Times New Roman" w:hAnsi="Times New Roman" w:cs="Times New Roman"/>
        </w:rPr>
        <w:t>The trustee relied on §§ 326(a) and 330(a</w:t>
      </w:r>
      <w:proofErr w:type="gramStart"/>
      <w:r w:rsidRPr="00A3136F">
        <w:rPr>
          <w:rFonts w:ascii="Times New Roman" w:hAnsi="Times New Roman" w:cs="Times New Roman"/>
        </w:rPr>
        <w:t>)(</w:t>
      </w:r>
      <w:proofErr w:type="gramEnd"/>
      <w:r w:rsidRPr="00A3136F">
        <w:rPr>
          <w:rFonts w:ascii="Times New Roman" w:hAnsi="Times New Roman" w:cs="Times New Roman"/>
        </w:rPr>
        <w:t xml:space="preserve">7) of the Code, the latter of which was added under BAPCPA.  </w:t>
      </w:r>
    </w:p>
    <w:p w:rsidR="008E21BF" w:rsidRPr="00A3136F" w:rsidRDefault="008E21BF" w:rsidP="00CD669A">
      <w:pPr>
        <w:spacing w:after="0" w:line="240" w:lineRule="auto"/>
        <w:jc w:val="both"/>
        <w:rPr>
          <w:rFonts w:ascii="Times New Roman" w:hAnsi="Times New Roman" w:cs="Times New Roman"/>
        </w:rPr>
      </w:pPr>
    </w:p>
    <w:p w:rsidR="00845277" w:rsidRPr="00A3136F" w:rsidRDefault="00845277"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The Fourth Circuit engaged in an analysis of the statutes' plain language, which state that "the court </w:t>
      </w:r>
      <w:r w:rsidRPr="00A3136F">
        <w:rPr>
          <w:rFonts w:ascii="Times New Roman" w:hAnsi="Times New Roman" w:cs="Times New Roman"/>
          <w:b/>
          <w:i/>
        </w:rPr>
        <w:t>shall</w:t>
      </w:r>
      <w:r w:rsidRPr="00A3136F">
        <w:rPr>
          <w:rFonts w:ascii="Times New Roman" w:hAnsi="Times New Roman" w:cs="Times New Roman"/>
        </w:rPr>
        <w:t xml:space="preserve"> treat such compensation as a comm</w:t>
      </w:r>
      <w:r w:rsidR="00CD669A" w:rsidRPr="00A3136F">
        <w:rPr>
          <w:rFonts w:ascii="Times New Roman" w:hAnsi="Times New Roman" w:cs="Times New Roman"/>
        </w:rPr>
        <w:t xml:space="preserve">ission, based on section 326." </w:t>
      </w:r>
      <w:r w:rsidRPr="00A3136F">
        <w:rPr>
          <w:rFonts w:ascii="Times New Roman" w:hAnsi="Times New Roman" w:cs="Times New Roman"/>
        </w:rPr>
        <w:t>11 U.S</w:t>
      </w:r>
      <w:r w:rsidR="00CD669A" w:rsidRPr="00A3136F">
        <w:rPr>
          <w:rFonts w:ascii="Times New Roman" w:hAnsi="Times New Roman" w:cs="Times New Roman"/>
        </w:rPr>
        <w:t>.C. § 330(a</w:t>
      </w:r>
      <w:proofErr w:type="gramStart"/>
      <w:r w:rsidR="00CD669A" w:rsidRPr="00A3136F">
        <w:rPr>
          <w:rFonts w:ascii="Times New Roman" w:hAnsi="Times New Roman" w:cs="Times New Roman"/>
        </w:rPr>
        <w:t>)(</w:t>
      </w:r>
      <w:proofErr w:type="gramEnd"/>
      <w:r w:rsidR="00CD669A" w:rsidRPr="00A3136F">
        <w:rPr>
          <w:rFonts w:ascii="Times New Roman" w:hAnsi="Times New Roman" w:cs="Times New Roman"/>
        </w:rPr>
        <w:t>7) (</w:t>
      </w:r>
      <w:proofErr w:type="spellStart"/>
      <w:r w:rsidR="00CD669A" w:rsidRPr="00A3136F">
        <w:rPr>
          <w:rFonts w:ascii="Times New Roman" w:hAnsi="Times New Roman" w:cs="Times New Roman"/>
        </w:rPr>
        <w:t>emph</w:t>
      </w:r>
      <w:proofErr w:type="spellEnd"/>
      <w:r w:rsidR="00CD669A" w:rsidRPr="00A3136F">
        <w:rPr>
          <w:rFonts w:ascii="Times New Roman" w:hAnsi="Times New Roman" w:cs="Times New Roman"/>
        </w:rPr>
        <w:t xml:space="preserve">. added). </w:t>
      </w:r>
      <w:r w:rsidRPr="00A3136F">
        <w:rPr>
          <w:rFonts w:ascii="Times New Roman" w:hAnsi="Times New Roman" w:cs="Times New Roman"/>
        </w:rPr>
        <w:t>Section 330(a</w:t>
      </w:r>
      <w:proofErr w:type="gramStart"/>
      <w:r w:rsidRPr="00A3136F">
        <w:rPr>
          <w:rFonts w:ascii="Times New Roman" w:hAnsi="Times New Roman" w:cs="Times New Roman"/>
        </w:rPr>
        <w:t>)(</w:t>
      </w:r>
      <w:proofErr w:type="gramEnd"/>
      <w:r w:rsidRPr="00A3136F">
        <w:rPr>
          <w:rFonts w:ascii="Times New Roman" w:hAnsi="Times New Roman" w:cs="Times New Roman"/>
        </w:rPr>
        <w:t>2) qualifies that mandate based on the existence of "extraordinary circumstances," in which case the court may award compensation l</w:t>
      </w:r>
      <w:r w:rsidR="00CD669A" w:rsidRPr="00A3136F">
        <w:rPr>
          <w:rFonts w:ascii="Times New Roman" w:hAnsi="Times New Roman" w:cs="Times New Roman"/>
        </w:rPr>
        <w:t xml:space="preserve">ess than the amount requested. </w:t>
      </w:r>
      <w:r w:rsidRPr="00A3136F">
        <w:rPr>
          <w:rFonts w:ascii="Times New Roman" w:hAnsi="Times New Roman" w:cs="Times New Roman"/>
        </w:rPr>
        <w:t>While noting that the bankruptcy court found that the trustee did not properly discharge his duties, the Fourth Circuit remanded the case so that the bankruptcy court could "make detailed findings of fact explaining the 'rational relationship between the amount of the commission and the type and level of services rendered.'"</w:t>
      </w:r>
    </w:p>
    <w:p w:rsidR="008E21BF" w:rsidRPr="00A3136F" w:rsidRDefault="008E21BF" w:rsidP="008E21BF">
      <w:pPr>
        <w:spacing w:after="0" w:line="240" w:lineRule="auto"/>
        <w:rPr>
          <w:rFonts w:ascii="Times New Roman" w:hAnsi="Times New Roman" w:cs="Times New Roman"/>
        </w:rPr>
      </w:pPr>
    </w:p>
    <w:p w:rsidR="00384F70" w:rsidRPr="00A3136F" w:rsidRDefault="00384F70" w:rsidP="008E21BF">
      <w:pPr>
        <w:spacing w:after="0" w:line="240" w:lineRule="auto"/>
        <w:rPr>
          <w:rFonts w:ascii="Times New Roman" w:hAnsi="Times New Roman" w:cs="Times New Roman"/>
          <w:i/>
        </w:rPr>
      </w:pPr>
      <w:r w:rsidRPr="00A3136F">
        <w:rPr>
          <w:rFonts w:ascii="Times New Roman" w:hAnsi="Times New Roman" w:cs="Times New Roman"/>
          <w:i/>
        </w:rPr>
        <w:t>Submitted by:</w:t>
      </w:r>
    </w:p>
    <w:p w:rsidR="00384F70" w:rsidRPr="00A3136F" w:rsidRDefault="00384F70" w:rsidP="00384F70">
      <w:pPr>
        <w:spacing w:after="0" w:line="240" w:lineRule="auto"/>
        <w:rPr>
          <w:rFonts w:ascii="Times New Roman" w:hAnsi="Times New Roman" w:cs="Times New Roman"/>
          <w:b/>
        </w:rPr>
      </w:pPr>
      <w:r w:rsidRPr="00A3136F">
        <w:rPr>
          <w:rFonts w:ascii="Times New Roman" w:hAnsi="Times New Roman" w:cs="Times New Roman"/>
          <w:b/>
        </w:rPr>
        <w:t xml:space="preserve">Jed. K. Donaldson </w:t>
      </w:r>
    </w:p>
    <w:p w:rsidR="00384F70" w:rsidRPr="00A3136F" w:rsidRDefault="00384F70" w:rsidP="00384F70">
      <w:pPr>
        <w:spacing w:after="0" w:line="240" w:lineRule="auto"/>
        <w:rPr>
          <w:rFonts w:ascii="Times New Roman" w:hAnsi="Times New Roman" w:cs="Times New Roman"/>
        </w:rPr>
      </w:pPr>
      <w:proofErr w:type="spellStart"/>
      <w:r w:rsidRPr="00A3136F">
        <w:rPr>
          <w:rFonts w:ascii="Times New Roman" w:hAnsi="Times New Roman" w:cs="Times New Roman"/>
        </w:rPr>
        <w:t>Spotts</w:t>
      </w:r>
      <w:proofErr w:type="spellEnd"/>
      <w:r w:rsidRPr="00A3136F">
        <w:rPr>
          <w:rFonts w:ascii="Times New Roman" w:hAnsi="Times New Roman" w:cs="Times New Roman"/>
        </w:rPr>
        <w:t xml:space="preserve"> Fain </w:t>
      </w:r>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 xml:space="preserve">411 E. Franklin Street </w:t>
      </w:r>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 xml:space="preserve">Suite 600 </w:t>
      </w:r>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 xml:space="preserve">Richmond, VA 23219 </w:t>
      </w:r>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 xml:space="preserve">(804) 697-2036 </w:t>
      </w:r>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 xml:space="preserve">(804) 697-2136 fax </w:t>
      </w:r>
    </w:p>
    <w:p w:rsidR="00384F70" w:rsidRPr="00A3136F" w:rsidRDefault="00A3136F" w:rsidP="00384F70">
      <w:pPr>
        <w:spacing w:after="0" w:line="240" w:lineRule="auto"/>
        <w:rPr>
          <w:rFonts w:ascii="Times New Roman" w:hAnsi="Times New Roman" w:cs="Times New Roman"/>
        </w:rPr>
      </w:pPr>
      <w:hyperlink r:id="rId10" w:history="1">
        <w:r w:rsidR="008E21BF" w:rsidRPr="00A3136F">
          <w:rPr>
            <w:rStyle w:val="Hyperlink"/>
            <w:rFonts w:ascii="Times New Roman" w:hAnsi="Times New Roman"/>
          </w:rPr>
          <w:t>jdonaldson@spottsfain.com</w:t>
        </w:r>
      </w:hyperlink>
    </w:p>
    <w:p w:rsidR="008E21BF" w:rsidRPr="00A3136F" w:rsidRDefault="008E21BF" w:rsidP="00384F70">
      <w:pPr>
        <w:spacing w:after="0" w:line="240" w:lineRule="auto"/>
        <w:rPr>
          <w:rFonts w:ascii="Times New Roman" w:hAnsi="Times New Roman" w:cs="Times New Roman"/>
        </w:rPr>
      </w:pPr>
    </w:p>
    <w:p w:rsidR="00CD669A" w:rsidRPr="00A3136F" w:rsidRDefault="00CD669A" w:rsidP="00384F70">
      <w:pPr>
        <w:spacing w:after="0" w:line="240" w:lineRule="auto"/>
        <w:rPr>
          <w:rFonts w:ascii="Times New Roman" w:hAnsi="Times New Roman" w:cs="Times New Roman"/>
        </w:rPr>
      </w:pPr>
    </w:p>
    <w:p w:rsidR="001671FA" w:rsidRPr="00A3136F" w:rsidRDefault="001671FA" w:rsidP="00187CA9">
      <w:pPr>
        <w:spacing w:after="0" w:line="240" w:lineRule="auto"/>
        <w:rPr>
          <w:rFonts w:ascii="Times New Roman" w:hAnsi="Times New Roman" w:cs="Times New Roman"/>
          <w:b/>
          <w:u w:val="single"/>
        </w:rPr>
      </w:pPr>
      <w:r w:rsidRPr="00A3136F">
        <w:rPr>
          <w:rFonts w:ascii="Times New Roman" w:hAnsi="Times New Roman" w:cs="Times New Roman"/>
          <w:b/>
          <w:u w:val="single"/>
        </w:rPr>
        <w:t>Seventh Circuit</w:t>
      </w:r>
    </w:p>
    <w:p w:rsidR="00187CA9" w:rsidRPr="00A3136F" w:rsidRDefault="00187CA9" w:rsidP="00187CA9">
      <w:pPr>
        <w:spacing w:after="0" w:line="240" w:lineRule="auto"/>
        <w:rPr>
          <w:rFonts w:ascii="Times New Roman" w:hAnsi="Times New Roman" w:cs="Times New Roman"/>
          <w:i/>
          <w:iCs/>
        </w:rPr>
      </w:pPr>
    </w:p>
    <w:p w:rsidR="00187CA9" w:rsidRPr="00A3136F" w:rsidRDefault="00187CA9" w:rsidP="00CD669A">
      <w:pPr>
        <w:spacing w:after="0" w:line="240" w:lineRule="auto"/>
        <w:jc w:val="both"/>
        <w:rPr>
          <w:rFonts w:ascii="Times New Roman" w:hAnsi="Times New Roman" w:cs="Times New Roman"/>
          <w:b/>
        </w:rPr>
      </w:pPr>
      <w:proofErr w:type="gramStart"/>
      <w:r w:rsidRPr="00A3136F">
        <w:rPr>
          <w:rFonts w:ascii="Times New Roman" w:hAnsi="Times New Roman" w:cs="Times New Roman"/>
          <w:b/>
          <w:i/>
          <w:iCs/>
        </w:rPr>
        <w:t>In re C.P. Hall Co.</w:t>
      </w:r>
      <w:r w:rsidRPr="00A3136F">
        <w:rPr>
          <w:rFonts w:ascii="Times New Roman" w:hAnsi="Times New Roman" w:cs="Times New Roman"/>
          <w:b/>
        </w:rPr>
        <w:t xml:space="preserve">, </w:t>
      </w:r>
      <w:r w:rsidR="009C3EC8" w:rsidRPr="00A3136F">
        <w:rPr>
          <w:rFonts w:ascii="Times New Roman" w:hAnsi="Times New Roman" w:cs="Times New Roman"/>
          <w:b/>
        </w:rPr>
        <w:t xml:space="preserve">2014 WL 1628119 </w:t>
      </w:r>
      <w:r w:rsidRPr="00A3136F">
        <w:rPr>
          <w:rFonts w:ascii="Times New Roman" w:hAnsi="Times New Roman" w:cs="Times New Roman"/>
          <w:b/>
        </w:rPr>
        <w:t>(7</w:t>
      </w:r>
      <w:r w:rsidRPr="00A3136F">
        <w:rPr>
          <w:rFonts w:ascii="Times New Roman" w:hAnsi="Times New Roman" w:cs="Times New Roman"/>
          <w:b/>
          <w:vertAlign w:val="superscript"/>
        </w:rPr>
        <w:t>th</w:t>
      </w:r>
      <w:r w:rsidRPr="00A3136F">
        <w:rPr>
          <w:rFonts w:ascii="Times New Roman" w:hAnsi="Times New Roman" w:cs="Times New Roman"/>
          <w:b/>
        </w:rPr>
        <w:t xml:space="preserve"> Cir. April 24, 2014) (Posner, J.)</w:t>
      </w:r>
      <w:proofErr w:type="gramEnd"/>
    </w:p>
    <w:p w:rsidR="00187CA9" w:rsidRPr="00A3136F" w:rsidRDefault="00187CA9" w:rsidP="00CD669A">
      <w:pPr>
        <w:spacing w:after="0" w:line="240" w:lineRule="auto"/>
        <w:jc w:val="both"/>
        <w:rPr>
          <w:rFonts w:ascii="Times New Roman" w:hAnsi="Times New Roman" w:cs="Times New Roman"/>
        </w:rPr>
      </w:pPr>
    </w:p>
    <w:p w:rsidR="00187CA9" w:rsidRPr="00A3136F" w:rsidRDefault="00187CA9"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On April 24, 2014, the Seventh Circuit affirmed the decisions of the district and bankruptcy court, holding that a non-party excess insurer lacked standing to object to a settlement between a party seeking indemnification from the debtor and the debtor’s primary insurer. Specifically, a company sought </w:t>
      </w:r>
      <w:r w:rsidRPr="00A3136F">
        <w:rPr>
          <w:rFonts w:ascii="Times New Roman" w:hAnsi="Times New Roman" w:cs="Times New Roman"/>
        </w:rPr>
        <w:lastRenderedPageBreak/>
        <w:t xml:space="preserve">indemnity from the debtor under </w:t>
      </w:r>
      <w:r w:rsidR="00CD669A" w:rsidRPr="00A3136F">
        <w:rPr>
          <w:rFonts w:ascii="Times New Roman" w:hAnsi="Times New Roman" w:cs="Times New Roman"/>
        </w:rPr>
        <w:t xml:space="preserve">a $10 million insurance policy. </w:t>
      </w:r>
      <w:r w:rsidRPr="00A3136F">
        <w:rPr>
          <w:rFonts w:ascii="Times New Roman" w:hAnsi="Times New Roman" w:cs="Times New Roman"/>
        </w:rPr>
        <w:t>Whether the policy covered the claim was in dispute, however, and the company settled with the prima</w:t>
      </w:r>
      <w:r w:rsidR="00CD669A" w:rsidRPr="00A3136F">
        <w:rPr>
          <w:rFonts w:ascii="Times New Roman" w:hAnsi="Times New Roman" w:cs="Times New Roman"/>
        </w:rPr>
        <w:t>ry insurer for $4.125 million. </w:t>
      </w:r>
      <w:r w:rsidRPr="00A3136F">
        <w:rPr>
          <w:rFonts w:ascii="Times New Roman" w:hAnsi="Times New Roman" w:cs="Times New Roman"/>
        </w:rPr>
        <w:t>The debtor’s excess insurer sought to intervene and to object to the settlement on the grounds that the settlement “increased the likelihood of [its] having to honor its s</w:t>
      </w:r>
      <w:r w:rsidR="00CD669A" w:rsidRPr="00A3136F">
        <w:rPr>
          <w:rFonts w:ascii="Times New Roman" w:hAnsi="Times New Roman" w:cs="Times New Roman"/>
        </w:rPr>
        <w:t>econdary-coverage obligation.” </w:t>
      </w:r>
      <w:r w:rsidRPr="00A3136F">
        <w:rPr>
          <w:rFonts w:ascii="Times New Roman" w:hAnsi="Times New Roman" w:cs="Times New Roman"/>
        </w:rPr>
        <w:t xml:space="preserve">(Slip Op. 2).  </w:t>
      </w:r>
    </w:p>
    <w:p w:rsidR="00187CA9" w:rsidRPr="00A3136F" w:rsidRDefault="00187CA9" w:rsidP="00CD669A">
      <w:pPr>
        <w:spacing w:after="0" w:line="240" w:lineRule="auto"/>
        <w:jc w:val="both"/>
        <w:rPr>
          <w:rFonts w:ascii="Times New Roman" w:hAnsi="Times New Roman" w:cs="Times New Roman"/>
        </w:rPr>
      </w:pPr>
    </w:p>
    <w:p w:rsidR="00187CA9" w:rsidRPr="00A3136F" w:rsidRDefault="00187CA9" w:rsidP="00CD669A">
      <w:pPr>
        <w:spacing w:after="0" w:line="240" w:lineRule="auto"/>
        <w:jc w:val="both"/>
        <w:rPr>
          <w:rFonts w:ascii="Times New Roman" w:hAnsi="Times New Roman" w:cs="Times New Roman"/>
        </w:rPr>
      </w:pPr>
      <w:r w:rsidRPr="00A3136F">
        <w:rPr>
          <w:rFonts w:ascii="Times New Roman" w:hAnsi="Times New Roman" w:cs="Times New Roman"/>
        </w:rPr>
        <w:t>The Seventh Circuit acknowledged that the excess insurer had Article III standing, but the excess insurer also needed to show that 11 U.S.C. § 1109(b) conferred upon it a right</w:t>
      </w:r>
      <w:r w:rsidR="00CD669A" w:rsidRPr="00A3136F">
        <w:rPr>
          <w:rFonts w:ascii="Times New Roman" w:hAnsi="Times New Roman" w:cs="Times New Roman"/>
        </w:rPr>
        <w:t xml:space="preserve"> to be heard. (Slip Op. 3-4). </w:t>
      </w:r>
      <w:r w:rsidRPr="00A3136F">
        <w:rPr>
          <w:rFonts w:ascii="Times New Roman" w:hAnsi="Times New Roman" w:cs="Times New Roman"/>
        </w:rPr>
        <w:t>The Court held that the excess insurer was not entitled to be heard under that section because it was not the debtor, a creditor, or the U.S. trustee but rather “just a firm that may suffer collateral damage from a ruling in the bankrup</w:t>
      </w:r>
      <w:r w:rsidR="00CD669A" w:rsidRPr="00A3136F">
        <w:rPr>
          <w:rFonts w:ascii="Times New Roman" w:hAnsi="Times New Roman" w:cs="Times New Roman"/>
        </w:rPr>
        <w:t>tcy proceeding.”  (Slip Op. 5).</w:t>
      </w:r>
      <w:r w:rsidRPr="00A3136F">
        <w:rPr>
          <w:rFonts w:ascii="Times New Roman" w:hAnsi="Times New Roman" w:cs="Times New Roman"/>
        </w:rPr>
        <w:t xml:space="preserve"> In so ruling, the Court distinguished situations where insurers alleged “that they were targets of a scheme between the debtor and its creditors, rather than accidental victims of a scheme directed against others,” and the “taking away [of] someone’s contractual rights in a bankruptcy proceeding.”  (Slip Op. 6).</w:t>
      </w:r>
    </w:p>
    <w:p w:rsidR="00187CA9" w:rsidRPr="00A3136F" w:rsidRDefault="00187CA9" w:rsidP="00187CA9">
      <w:pPr>
        <w:spacing w:after="0" w:line="240" w:lineRule="auto"/>
        <w:rPr>
          <w:rFonts w:ascii="Times New Roman" w:hAnsi="Times New Roman" w:cs="Times New Roman"/>
        </w:rPr>
      </w:pPr>
    </w:p>
    <w:p w:rsidR="00187CA9" w:rsidRPr="00A3136F" w:rsidRDefault="00187CA9" w:rsidP="00187CA9">
      <w:pPr>
        <w:spacing w:after="0" w:line="240" w:lineRule="auto"/>
        <w:rPr>
          <w:rFonts w:ascii="Times New Roman" w:hAnsi="Times New Roman" w:cs="Times New Roman"/>
        </w:rPr>
      </w:pPr>
      <w:r w:rsidRPr="00A3136F">
        <w:rPr>
          <w:rFonts w:ascii="Times New Roman" w:hAnsi="Times New Roman" w:cs="Times New Roman"/>
          <w:i/>
        </w:rPr>
        <w:t>Submitted by:</w:t>
      </w:r>
    </w:p>
    <w:p w:rsidR="00187CA9" w:rsidRPr="00A3136F" w:rsidRDefault="00187CA9" w:rsidP="00187CA9">
      <w:pPr>
        <w:pStyle w:val="PlainText"/>
        <w:rPr>
          <w:rFonts w:ascii="Times New Roman" w:hAnsi="Times New Roman"/>
          <w:b/>
        </w:rPr>
      </w:pPr>
      <w:r w:rsidRPr="00A3136F">
        <w:rPr>
          <w:rFonts w:ascii="Times New Roman" w:hAnsi="Times New Roman"/>
          <w:b/>
        </w:rPr>
        <w:t xml:space="preserve">Michael R. </w:t>
      </w:r>
      <w:proofErr w:type="spellStart"/>
      <w:r w:rsidRPr="00A3136F">
        <w:rPr>
          <w:rFonts w:ascii="Times New Roman" w:hAnsi="Times New Roman"/>
          <w:b/>
        </w:rPr>
        <w:t>Cedillos</w:t>
      </w:r>
      <w:proofErr w:type="spellEnd"/>
    </w:p>
    <w:p w:rsidR="00187CA9" w:rsidRPr="00A3136F" w:rsidRDefault="00187CA9" w:rsidP="00187CA9">
      <w:pPr>
        <w:pStyle w:val="PlainText"/>
        <w:rPr>
          <w:rFonts w:ascii="Times New Roman" w:hAnsi="Times New Roman"/>
        </w:rPr>
      </w:pPr>
      <w:r w:rsidRPr="00A3136F">
        <w:rPr>
          <w:rFonts w:ascii="Times New Roman" w:hAnsi="Times New Roman"/>
        </w:rPr>
        <w:t>Associate</w:t>
      </w:r>
    </w:p>
    <w:p w:rsidR="00187CA9" w:rsidRPr="00A3136F" w:rsidRDefault="00187CA9" w:rsidP="00187CA9">
      <w:pPr>
        <w:pStyle w:val="PlainText"/>
        <w:rPr>
          <w:rFonts w:ascii="Times New Roman" w:hAnsi="Times New Roman"/>
        </w:rPr>
      </w:pPr>
      <w:r w:rsidRPr="00A3136F">
        <w:rPr>
          <w:rFonts w:ascii="Times New Roman" w:hAnsi="Times New Roman"/>
        </w:rPr>
        <w:t xml:space="preserve">Greenberg </w:t>
      </w:r>
      <w:proofErr w:type="spellStart"/>
      <w:r w:rsidRPr="00A3136F">
        <w:rPr>
          <w:rFonts w:ascii="Times New Roman" w:hAnsi="Times New Roman"/>
        </w:rPr>
        <w:t>Traurig</w:t>
      </w:r>
      <w:proofErr w:type="spellEnd"/>
      <w:r w:rsidRPr="00A3136F">
        <w:rPr>
          <w:rFonts w:ascii="Times New Roman" w:hAnsi="Times New Roman"/>
        </w:rPr>
        <w:t>, LLP | 77 West Wacker Drive | Suite 3100 | Chicago, IL</w:t>
      </w:r>
    </w:p>
    <w:p w:rsidR="00187CA9" w:rsidRPr="00A3136F" w:rsidRDefault="00187CA9" w:rsidP="00187CA9">
      <w:pPr>
        <w:pStyle w:val="PlainText"/>
        <w:rPr>
          <w:rFonts w:ascii="Times New Roman" w:hAnsi="Times New Roman"/>
        </w:rPr>
      </w:pPr>
      <w:r w:rsidRPr="00A3136F">
        <w:rPr>
          <w:rFonts w:ascii="Times New Roman" w:hAnsi="Times New Roman"/>
        </w:rPr>
        <w:t>60601</w:t>
      </w:r>
    </w:p>
    <w:p w:rsidR="00187CA9" w:rsidRPr="00A3136F" w:rsidRDefault="00187CA9" w:rsidP="00187CA9">
      <w:pPr>
        <w:pStyle w:val="PlainText"/>
        <w:rPr>
          <w:rFonts w:ascii="Times New Roman" w:hAnsi="Times New Roman"/>
        </w:rPr>
      </w:pPr>
      <w:r w:rsidRPr="00A3136F">
        <w:rPr>
          <w:rFonts w:ascii="Times New Roman" w:hAnsi="Times New Roman"/>
        </w:rPr>
        <w:t>Tel 312.456.1062</w:t>
      </w:r>
    </w:p>
    <w:p w:rsidR="00187CA9" w:rsidRPr="00A3136F" w:rsidRDefault="00A3136F" w:rsidP="00187CA9">
      <w:pPr>
        <w:pStyle w:val="PlainText"/>
        <w:rPr>
          <w:rFonts w:ascii="Times New Roman" w:hAnsi="Times New Roman"/>
        </w:rPr>
      </w:pPr>
      <w:hyperlink r:id="rId11" w:history="1">
        <w:r w:rsidR="00187CA9" w:rsidRPr="00A3136F">
          <w:rPr>
            <w:rStyle w:val="Hyperlink"/>
            <w:rFonts w:ascii="Times New Roman" w:hAnsi="Times New Roman"/>
          </w:rPr>
          <w:t>cedillosm@gtlaw.com</w:t>
        </w:r>
      </w:hyperlink>
      <w:r w:rsidR="00187CA9" w:rsidRPr="00A3136F">
        <w:rPr>
          <w:rFonts w:ascii="Times New Roman" w:hAnsi="Times New Roman"/>
        </w:rPr>
        <w:t xml:space="preserve"> | </w:t>
      </w:r>
      <w:hyperlink r:id="rId12" w:history="1">
        <w:r w:rsidR="00187CA9" w:rsidRPr="00A3136F">
          <w:rPr>
            <w:rStyle w:val="Hyperlink"/>
            <w:rFonts w:ascii="Times New Roman" w:hAnsi="Times New Roman"/>
          </w:rPr>
          <w:t>www.gtlaw.com</w:t>
        </w:r>
      </w:hyperlink>
    </w:p>
    <w:p w:rsidR="001671FA" w:rsidRPr="00A3136F" w:rsidRDefault="001671FA" w:rsidP="00187CA9">
      <w:pPr>
        <w:spacing w:after="0" w:line="240" w:lineRule="auto"/>
        <w:rPr>
          <w:rFonts w:ascii="Times New Roman" w:hAnsi="Times New Roman" w:cs="Times New Roman"/>
          <w:b/>
          <w:u w:val="single"/>
        </w:rPr>
      </w:pPr>
    </w:p>
    <w:p w:rsidR="00CD669A" w:rsidRPr="00A3136F" w:rsidRDefault="00CD669A" w:rsidP="00187CA9">
      <w:pPr>
        <w:spacing w:after="0" w:line="240" w:lineRule="auto"/>
        <w:rPr>
          <w:rFonts w:ascii="Times New Roman" w:hAnsi="Times New Roman" w:cs="Times New Roman"/>
          <w:b/>
          <w:u w:val="single"/>
        </w:rPr>
      </w:pPr>
    </w:p>
    <w:p w:rsidR="001671FA" w:rsidRPr="00A3136F" w:rsidRDefault="001671FA" w:rsidP="00187CA9">
      <w:pPr>
        <w:spacing w:after="0" w:line="240" w:lineRule="auto"/>
        <w:rPr>
          <w:rFonts w:ascii="Times New Roman" w:hAnsi="Times New Roman" w:cs="Times New Roman"/>
          <w:b/>
          <w:u w:val="single"/>
        </w:rPr>
      </w:pPr>
      <w:r w:rsidRPr="00A3136F">
        <w:rPr>
          <w:rFonts w:ascii="Times New Roman" w:hAnsi="Times New Roman" w:cs="Times New Roman"/>
          <w:b/>
          <w:u w:val="single"/>
        </w:rPr>
        <w:t>Eight</w:t>
      </w:r>
      <w:r w:rsidR="00187CA9" w:rsidRPr="00A3136F">
        <w:rPr>
          <w:rFonts w:ascii="Times New Roman" w:hAnsi="Times New Roman" w:cs="Times New Roman"/>
          <w:b/>
          <w:u w:val="single"/>
        </w:rPr>
        <w:t>h</w:t>
      </w:r>
      <w:r w:rsidRPr="00A3136F">
        <w:rPr>
          <w:rFonts w:ascii="Times New Roman" w:hAnsi="Times New Roman" w:cs="Times New Roman"/>
          <w:b/>
          <w:u w:val="single"/>
        </w:rPr>
        <w:t xml:space="preserve"> Circuit</w:t>
      </w:r>
    </w:p>
    <w:p w:rsidR="00187CA9" w:rsidRPr="00A3136F" w:rsidRDefault="00187CA9" w:rsidP="00187CA9">
      <w:pPr>
        <w:spacing w:after="0" w:line="240" w:lineRule="auto"/>
        <w:rPr>
          <w:rFonts w:ascii="Times New Roman" w:hAnsi="Times New Roman" w:cs="Times New Roman"/>
          <w:b/>
          <w:u w:val="single"/>
        </w:rPr>
      </w:pPr>
    </w:p>
    <w:p w:rsidR="000F0624" w:rsidRPr="00A3136F" w:rsidRDefault="000F0624" w:rsidP="00CD669A">
      <w:pPr>
        <w:spacing w:after="0" w:line="240" w:lineRule="auto"/>
        <w:jc w:val="both"/>
        <w:rPr>
          <w:rFonts w:ascii="Times New Roman" w:hAnsi="Times New Roman" w:cs="Times New Roman"/>
          <w:b/>
        </w:rPr>
      </w:pPr>
      <w:r w:rsidRPr="00A3136F">
        <w:rPr>
          <w:rFonts w:ascii="Times New Roman" w:hAnsi="Times New Roman" w:cs="Times New Roman"/>
          <w:b/>
          <w:i/>
        </w:rPr>
        <w:t xml:space="preserve">CitiMortgage, Inc. v </w:t>
      </w:r>
      <w:proofErr w:type="spellStart"/>
      <w:r w:rsidRPr="00A3136F">
        <w:rPr>
          <w:rFonts w:ascii="Times New Roman" w:hAnsi="Times New Roman" w:cs="Times New Roman"/>
          <w:b/>
          <w:i/>
        </w:rPr>
        <w:t>Borm</w:t>
      </w:r>
      <w:proofErr w:type="spellEnd"/>
      <w:r w:rsidRPr="00A3136F">
        <w:rPr>
          <w:rFonts w:ascii="Times New Roman" w:hAnsi="Times New Roman" w:cs="Times New Roman"/>
          <w:b/>
          <w:i/>
        </w:rPr>
        <w:t xml:space="preserve"> (In re </w:t>
      </w:r>
      <w:proofErr w:type="spellStart"/>
      <w:r w:rsidRPr="00A3136F">
        <w:rPr>
          <w:rFonts w:ascii="Times New Roman" w:hAnsi="Times New Roman" w:cs="Times New Roman"/>
          <w:b/>
          <w:i/>
        </w:rPr>
        <w:t>Borm</w:t>
      </w:r>
      <w:proofErr w:type="spellEnd"/>
      <w:r w:rsidRPr="00A3136F">
        <w:rPr>
          <w:rFonts w:ascii="Times New Roman" w:hAnsi="Times New Roman" w:cs="Times New Roman"/>
          <w:b/>
          <w:i/>
        </w:rPr>
        <w:t>)</w:t>
      </w:r>
      <w:r w:rsidR="009C3EC8" w:rsidRPr="00A3136F">
        <w:rPr>
          <w:rFonts w:ascii="Times New Roman" w:hAnsi="Times New Roman" w:cs="Times New Roman"/>
          <w:b/>
        </w:rPr>
        <w:t>, 508 B.R. 104 (B.A.P. 8</w:t>
      </w:r>
      <w:r w:rsidR="009C3EC8" w:rsidRPr="00A3136F">
        <w:rPr>
          <w:rFonts w:ascii="Times New Roman" w:hAnsi="Times New Roman" w:cs="Times New Roman"/>
          <w:b/>
          <w:vertAlign w:val="superscript"/>
        </w:rPr>
        <w:t>th</w:t>
      </w:r>
      <w:r w:rsidR="009C3EC8" w:rsidRPr="00A3136F">
        <w:rPr>
          <w:rFonts w:ascii="Times New Roman" w:hAnsi="Times New Roman" w:cs="Times New Roman"/>
          <w:b/>
        </w:rPr>
        <w:t xml:space="preserve"> Cir. April 2, 2014)</w:t>
      </w:r>
    </w:p>
    <w:p w:rsidR="009C3EC8" w:rsidRPr="00A3136F" w:rsidRDefault="009C3EC8" w:rsidP="00187CA9">
      <w:pPr>
        <w:spacing w:after="0" w:line="240" w:lineRule="auto"/>
        <w:rPr>
          <w:rFonts w:ascii="Times New Roman" w:hAnsi="Times New Roman" w:cs="Times New Roman"/>
          <w:b/>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Creditor filed a motion for relief from stay following the Debtors failure to pay mortgage payments as they became due as re</w:t>
      </w:r>
      <w:r w:rsidR="00CD669A" w:rsidRPr="00A3136F">
        <w:rPr>
          <w:rFonts w:ascii="Times New Roman" w:hAnsi="Times New Roman" w:cs="Times New Roman"/>
        </w:rPr>
        <w:t xml:space="preserve">quired by the Chapter 13 Plan. </w:t>
      </w:r>
      <w:r w:rsidRPr="00A3136F">
        <w:rPr>
          <w:rFonts w:ascii="Times New Roman" w:hAnsi="Times New Roman" w:cs="Times New Roman"/>
        </w:rPr>
        <w:t xml:space="preserve">The Bankruptcy Court denied the motion due to a perceived misrepresentation by the Creditor as to the number of payments missed and because the court found there was equity in the property.    </w:t>
      </w:r>
    </w:p>
    <w:p w:rsidR="00187CA9" w:rsidRPr="00A3136F" w:rsidRDefault="00187CA9" w:rsidP="00187CA9">
      <w:pPr>
        <w:spacing w:after="0" w:line="240" w:lineRule="auto"/>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The BAP reversed the Bankruptcy Court’s denial o</w:t>
      </w:r>
      <w:r w:rsidR="00CD669A" w:rsidRPr="00A3136F">
        <w:rPr>
          <w:rFonts w:ascii="Times New Roman" w:hAnsi="Times New Roman" w:cs="Times New Roman"/>
        </w:rPr>
        <w:t xml:space="preserve">f the relief from stay motion. </w:t>
      </w:r>
      <w:r w:rsidRPr="00A3136F">
        <w:rPr>
          <w:rFonts w:ascii="Times New Roman" w:hAnsi="Times New Roman" w:cs="Times New Roman"/>
        </w:rPr>
        <w:t xml:space="preserve">The </w:t>
      </w:r>
      <w:r w:rsidRPr="00A3136F">
        <w:rPr>
          <w:rFonts w:ascii="Times New Roman" w:hAnsi="Times New Roman" w:cs="Times New Roman"/>
        </w:rPr>
        <w:br/>
        <w:t>BAP held that cause existed to grant the motion and the Bankruptcy Court had abused its discretion in denying the motion were it was undisputed the Debtors had failed to comply with their obligations under the plan by missing nume</w:t>
      </w:r>
      <w:r w:rsidR="00CD669A" w:rsidRPr="00A3136F">
        <w:rPr>
          <w:rFonts w:ascii="Times New Roman" w:hAnsi="Times New Roman" w:cs="Times New Roman"/>
        </w:rPr>
        <w:t xml:space="preserve">rous payments to the Creditor. </w:t>
      </w:r>
      <w:r w:rsidRPr="00A3136F">
        <w:rPr>
          <w:rFonts w:ascii="Times New Roman" w:hAnsi="Times New Roman" w:cs="Times New Roman"/>
        </w:rPr>
        <w:t>The BAP also noted that an equity cushion does not create a lack of cause under § 362(d</w:t>
      </w:r>
      <w:proofErr w:type="gramStart"/>
      <w:r w:rsidRPr="00A3136F">
        <w:rPr>
          <w:rFonts w:ascii="Times New Roman" w:hAnsi="Times New Roman" w:cs="Times New Roman"/>
        </w:rPr>
        <w:t>)(</w:t>
      </w:r>
      <w:proofErr w:type="gramEnd"/>
      <w:r w:rsidRPr="00A3136F">
        <w:rPr>
          <w:rFonts w:ascii="Times New Roman" w:hAnsi="Times New Roman" w:cs="Times New Roman"/>
        </w:rPr>
        <w:t xml:space="preserve">1) where the debtor failed to make required payments.  </w:t>
      </w:r>
    </w:p>
    <w:p w:rsidR="00187CA9" w:rsidRPr="00A3136F" w:rsidRDefault="00187CA9" w:rsidP="00187CA9">
      <w:pPr>
        <w:spacing w:after="0" w:line="240" w:lineRule="auto"/>
        <w:rPr>
          <w:rFonts w:ascii="Times New Roman" w:hAnsi="Times New Roman" w:cs="Times New Roman"/>
          <w:b/>
          <w:i/>
        </w:rPr>
      </w:pPr>
    </w:p>
    <w:p w:rsidR="000F0624" w:rsidRPr="00A3136F" w:rsidRDefault="000F0624" w:rsidP="00CD669A">
      <w:pPr>
        <w:spacing w:after="0" w:line="240" w:lineRule="auto"/>
        <w:jc w:val="both"/>
        <w:rPr>
          <w:rFonts w:ascii="Times New Roman" w:hAnsi="Times New Roman" w:cs="Times New Roman"/>
          <w:b/>
        </w:rPr>
      </w:pPr>
      <w:r w:rsidRPr="00A3136F">
        <w:rPr>
          <w:rFonts w:ascii="Times New Roman" w:hAnsi="Times New Roman" w:cs="Times New Roman"/>
          <w:b/>
          <w:i/>
        </w:rPr>
        <w:t xml:space="preserve">Cox v. </w:t>
      </w:r>
      <w:proofErr w:type="spellStart"/>
      <w:r w:rsidRPr="00A3136F">
        <w:rPr>
          <w:rFonts w:ascii="Times New Roman" w:hAnsi="Times New Roman" w:cs="Times New Roman"/>
          <w:b/>
          <w:i/>
        </w:rPr>
        <w:t>Momar</w:t>
      </w:r>
      <w:proofErr w:type="spellEnd"/>
      <w:r w:rsidRPr="00A3136F">
        <w:rPr>
          <w:rFonts w:ascii="Times New Roman" w:hAnsi="Times New Roman" w:cs="Times New Roman"/>
          <w:b/>
          <w:i/>
        </w:rPr>
        <w:t xml:space="preserve"> Inc. (In re Affiliated Foods Southwest, Inc.)</w:t>
      </w:r>
      <w:r w:rsidR="00A01FE7" w:rsidRPr="00A3136F">
        <w:rPr>
          <w:rFonts w:ascii="Times New Roman" w:hAnsi="Times New Roman" w:cs="Times New Roman"/>
          <w:b/>
        </w:rPr>
        <w:t>,</w:t>
      </w:r>
      <w:r w:rsidR="00A01FE7" w:rsidRPr="00A3136F">
        <w:rPr>
          <w:rFonts w:ascii="Times New Roman" w:hAnsi="Times New Roman" w:cs="Times New Roman"/>
        </w:rPr>
        <w:t xml:space="preserve"> </w:t>
      </w:r>
      <w:r w:rsidR="00A01FE7" w:rsidRPr="00A3136F">
        <w:rPr>
          <w:rFonts w:ascii="Times New Roman" w:hAnsi="Times New Roman" w:cs="Times New Roman"/>
          <w:b/>
        </w:rPr>
        <w:t>2014 WL 1386989 (8</w:t>
      </w:r>
      <w:r w:rsidR="00A01FE7" w:rsidRPr="00A3136F">
        <w:rPr>
          <w:rFonts w:ascii="Times New Roman" w:hAnsi="Times New Roman" w:cs="Times New Roman"/>
          <w:b/>
          <w:vertAlign w:val="superscript"/>
        </w:rPr>
        <w:t>th</w:t>
      </w:r>
      <w:r w:rsidR="00A01FE7" w:rsidRPr="00A3136F">
        <w:rPr>
          <w:rFonts w:ascii="Times New Roman" w:hAnsi="Times New Roman" w:cs="Times New Roman"/>
          <w:b/>
        </w:rPr>
        <w:t xml:space="preserve"> Cir. April 10, 2014)</w:t>
      </w:r>
    </w:p>
    <w:p w:rsidR="00187CA9" w:rsidRPr="00A3136F" w:rsidRDefault="00187CA9" w:rsidP="00187CA9">
      <w:pPr>
        <w:spacing w:after="0" w:line="240" w:lineRule="auto"/>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This case arises out of an adversary proceeding brought by the Chapter 7 trustee to recover as avoidable preferences payments made by the Debtor to </w:t>
      </w:r>
      <w:proofErr w:type="spellStart"/>
      <w:r w:rsidRPr="00A3136F">
        <w:rPr>
          <w:rFonts w:ascii="Times New Roman" w:hAnsi="Times New Roman" w:cs="Times New Roman"/>
        </w:rPr>
        <w:t>Momar</w:t>
      </w:r>
      <w:proofErr w:type="spellEnd"/>
      <w:r w:rsidRPr="00A3136F">
        <w:rPr>
          <w:rFonts w:ascii="Times New Roman" w:hAnsi="Times New Roman" w:cs="Times New Roman"/>
        </w:rPr>
        <w:t>, Inc. (“</w:t>
      </w:r>
      <w:proofErr w:type="spellStart"/>
      <w:r w:rsidRPr="00A3136F">
        <w:rPr>
          <w:rFonts w:ascii="Times New Roman" w:hAnsi="Times New Roman" w:cs="Times New Roman"/>
        </w:rPr>
        <w:t>Momar</w:t>
      </w:r>
      <w:proofErr w:type="spellEnd"/>
      <w:r w:rsidRPr="00A3136F">
        <w:rPr>
          <w:rFonts w:ascii="Times New Roman" w:hAnsi="Times New Roman" w:cs="Times New Roman"/>
        </w:rPr>
        <w:t>”) in the 90 da</w:t>
      </w:r>
      <w:r w:rsidR="00CD669A" w:rsidRPr="00A3136F">
        <w:rPr>
          <w:rFonts w:ascii="Times New Roman" w:hAnsi="Times New Roman" w:cs="Times New Roman"/>
        </w:rPr>
        <w:t xml:space="preserve">ys prior to bankruptcy filing. </w:t>
      </w:r>
      <w:r w:rsidRPr="00A3136F">
        <w:rPr>
          <w:rFonts w:ascii="Times New Roman" w:hAnsi="Times New Roman" w:cs="Times New Roman"/>
        </w:rPr>
        <w:t xml:space="preserve">The proceeding was referred to the U.S. District Court after </w:t>
      </w:r>
      <w:proofErr w:type="spellStart"/>
      <w:r w:rsidRPr="00A3136F">
        <w:rPr>
          <w:rFonts w:ascii="Times New Roman" w:hAnsi="Times New Roman" w:cs="Times New Roman"/>
        </w:rPr>
        <w:t>Momar</w:t>
      </w:r>
      <w:proofErr w:type="spellEnd"/>
      <w:r w:rsidRPr="00A3136F">
        <w:rPr>
          <w:rFonts w:ascii="Times New Roman" w:hAnsi="Times New Roman" w:cs="Times New Roman"/>
        </w:rPr>
        <w:t xml:space="preserve"> made a demand for a jury trial and refused to consent to </w:t>
      </w:r>
      <w:r w:rsidR="00CD669A" w:rsidRPr="00A3136F">
        <w:rPr>
          <w:rFonts w:ascii="Times New Roman" w:hAnsi="Times New Roman" w:cs="Times New Roman"/>
        </w:rPr>
        <w:t xml:space="preserve">trial in the bankruptcy court. </w:t>
      </w:r>
      <w:r w:rsidRPr="00A3136F">
        <w:rPr>
          <w:rFonts w:ascii="Times New Roman" w:hAnsi="Times New Roman" w:cs="Times New Roman"/>
        </w:rPr>
        <w:t>Cross-motions for summary judgment were brought on the issue of whether the payment in question fell within the ordinary course of busi</w:t>
      </w:r>
      <w:r w:rsidR="00CD669A" w:rsidRPr="00A3136F">
        <w:rPr>
          <w:rFonts w:ascii="Times New Roman" w:hAnsi="Times New Roman" w:cs="Times New Roman"/>
        </w:rPr>
        <w:t>ness exception in § 547(c</w:t>
      </w:r>
      <w:proofErr w:type="gramStart"/>
      <w:r w:rsidR="00CD669A" w:rsidRPr="00A3136F">
        <w:rPr>
          <w:rFonts w:ascii="Times New Roman" w:hAnsi="Times New Roman" w:cs="Times New Roman"/>
        </w:rPr>
        <w:t>)(</w:t>
      </w:r>
      <w:proofErr w:type="gramEnd"/>
      <w:r w:rsidR="00CD669A" w:rsidRPr="00A3136F">
        <w:rPr>
          <w:rFonts w:ascii="Times New Roman" w:hAnsi="Times New Roman" w:cs="Times New Roman"/>
        </w:rPr>
        <w:t xml:space="preserve">2). </w:t>
      </w:r>
      <w:r w:rsidRPr="00A3136F">
        <w:rPr>
          <w:rFonts w:ascii="Times New Roman" w:hAnsi="Times New Roman" w:cs="Times New Roman"/>
        </w:rPr>
        <w:t xml:space="preserve">The district court granted the motion in favor of </w:t>
      </w:r>
      <w:proofErr w:type="spellStart"/>
      <w:r w:rsidRPr="00A3136F">
        <w:rPr>
          <w:rFonts w:ascii="Times New Roman" w:hAnsi="Times New Roman" w:cs="Times New Roman"/>
        </w:rPr>
        <w:t>Mo</w:t>
      </w:r>
      <w:r w:rsidR="00CD669A" w:rsidRPr="00A3136F">
        <w:rPr>
          <w:rFonts w:ascii="Times New Roman" w:hAnsi="Times New Roman" w:cs="Times New Roman"/>
        </w:rPr>
        <w:t>mar</w:t>
      </w:r>
      <w:proofErr w:type="spellEnd"/>
      <w:r w:rsidR="00CD669A" w:rsidRPr="00A3136F">
        <w:rPr>
          <w:rFonts w:ascii="Times New Roman" w:hAnsi="Times New Roman" w:cs="Times New Roman"/>
        </w:rPr>
        <w:t xml:space="preserve">. </w:t>
      </w:r>
      <w:r w:rsidRPr="00A3136F">
        <w:rPr>
          <w:rFonts w:ascii="Times New Roman" w:hAnsi="Times New Roman" w:cs="Times New Roman"/>
        </w:rPr>
        <w:t xml:space="preserve">The Eighth Circuit affirmed.  </w:t>
      </w:r>
    </w:p>
    <w:p w:rsidR="00187CA9" w:rsidRPr="00A3136F" w:rsidRDefault="00187CA9" w:rsidP="00187CA9">
      <w:pPr>
        <w:spacing w:after="0" w:line="240" w:lineRule="auto"/>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lastRenderedPageBreak/>
        <w:t xml:space="preserve">In its ruling, the Eighth Circuit expressed concern that the district court applied a “preponderance of the evidence” standard that is appropriate after trial but not for </w:t>
      </w:r>
      <w:r w:rsidR="00CD669A" w:rsidRPr="00A3136F">
        <w:rPr>
          <w:rFonts w:ascii="Times New Roman" w:hAnsi="Times New Roman" w:cs="Times New Roman"/>
        </w:rPr>
        <w:t xml:space="preserve">the grant of summary judgment. </w:t>
      </w:r>
      <w:r w:rsidRPr="00A3136F">
        <w:rPr>
          <w:rFonts w:ascii="Times New Roman" w:hAnsi="Times New Roman" w:cs="Times New Roman"/>
        </w:rPr>
        <w:t>As neither part raised the issue on appeal the Eighth Circuit decided the issue using post-trail standards but admonished the district court and future parties in preferential transfer cases the right to a jury trial must be respected.</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On the merits, the Eight Circuit found that payment in question was made in th</w:t>
      </w:r>
      <w:r w:rsidR="00CD669A" w:rsidRPr="00A3136F">
        <w:rPr>
          <w:rFonts w:ascii="Times New Roman" w:hAnsi="Times New Roman" w:cs="Times New Roman"/>
        </w:rPr>
        <w:t xml:space="preserve">e ordinary course of business. </w:t>
      </w:r>
      <w:r w:rsidRPr="00A3136F">
        <w:rPr>
          <w:rFonts w:ascii="Times New Roman" w:hAnsi="Times New Roman" w:cs="Times New Roman"/>
        </w:rPr>
        <w:t>The Court explained the analysis focuses on the time within which the debtor ordinarily paid the creditor’s invoices, and whether the timing of payments during the preference period showed some c</w:t>
      </w:r>
      <w:r w:rsidR="00CD669A" w:rsidRPr="00A3136F">
        <w:rPr>
          <w:rFonts w:ascii="Times New Roman" w:hAnsi="Times New Roman" w:cs="Times New Roman"/>
        </w:rPr>
        <w:t xml:space="preserve">onsistency with that practice. </w:t>
      </w:r>
      <w:r w:rsidRPr="00A3136F">
        <w:rPr>
          <w:rFonts w:ascii="Times New Roman" w:hAnsi="Times New Roman" w:cs="Times New Roman"/>
        </w:rPr>
        <w:t>The Court found that the district court had not erred in considering payments made in the two years p</w:t>
      </w:r>
      <w:r w:rsidR="00CD669A" w:rsidRPr="00A3136F">
        <w:rPr>
          <w:rFonts w:ascii="Times New Roman" w:hAnsi="Times New Roman" w:cs="Times New Roman"/>
        </w:rPr>
        <w:t xml:space="preserve">rior to the preference period. </w:t>
      </w:r>
      <w:r w:rsidRPr="00A3136F">
        <w:rPr>
          <w:rFonts w:ascii="Times New Roman" w:hAnsi="Times New Roman" w:cs="Times New Roman"/>
        </w:rPr>
        <w:t xml:space="preserve">The Eighth Circuit also found that the 26 day delay in payment on the invoice was “in the ordinary course of business” where there was a historical average of 35 days between invoice and payment with a range of 13 to 49 days.  </w:t>
      </w:r>
    </w:p>
    <w:p w:rsidR="000F0624" w:rsidRPr="00A3136F" w:rsidRDefault="000F0624"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b/>
        </w:rPr>
      </w:pPr>
      <w:r w:rsidRPr="00A3136F">
        <w:rPr>
          <w:rFonts w:ascii="Times New Roman" w:hAnsi="Times New Roman" w:cs="Times New Roman"/>
          <w:b/>
          <w:i/>
        </w:rPr>
        <w:t>Goldst</w:t>
      </w:r>
      <w:r w:rsidR="00A01FE7" w:rsidRPr="00A3136F">
        <w:rPr>
          <w:rFonts w:ascii="Times New Roman" w:hAnsi="Times New Roman" w:cs="Times New Roman"/>
          <w:b/>
          <w:i/>
        </w:rPr>
        <w:t>ein v. Diamond (In re Diamond)</w:t>
      </w:r>
      <w:r w:rsidR="00A01FE7" w:rsidRPr="00A3136F">
        <w:rPr>
          <w:rFonts w:ascii="Times New Roman" w:hAnsi="Times New Roman" w:cs="Times New Roman"/>
          <w:b/>
        </w:rPr>
        <w:t>, 2014 WL 1593090 (B.A.P. 8</w:t>
      </w:r>
      <w:r w:rsidR="00A01FE7" w:rsidRPr="00A3136F">
        <w:rPr>
          <w:rFonts w:ascii="Times New Roman" w:hAnsi="Times New Roman" w:cs="Times New Roman"/>
          <w:b/>
          <w:vertAlign w:val="superscript"/>
        </w:rPr>
        <w:t>th</w:t>
      </w:r>
      <w:r w:rsidR="00A01FE7" w:rsidRPr="00A3136F">
        <w:rPr>
          <w:rFonts w:ascii="Times New Roman" w:hAnsi="Times New Roman" w:cs="Times New Roman"/>
          <w:b/>
        </w:rPr>
        <w:t xml:space="preserve"> Cir. April, 22, 2014)</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In this case the BAP addressed the issue of whether or not a closed bankruptcy case must be reopened for the purpose of filing a </w:t>
      </w:r>
      <w:proofErr w:type="spellStart"/>
      <w:r w:rsidRPr="00A3136F">
        <w:rPr>
          <w:rFonts w:ascii="Times New Roman" w:hAnsi="Times New Roman" w:cs="Times New Roman"/>
        </w:rPr>
        <w:t>dischargeability</w:t>
      </w:r>
      <w:proofErr w:type="spellEnd"/>
      <w:r w:rsidRPr="00A3136F">
        <w:rPr>
          <w:rFonts w:ascii="Times New Roman" w:hAnsi="Times New Roman" w:cs="Times New Roman"/>
        </w:rPr>
        <w:t xml:space="preserve"> complaint. Goldstein, claiming to be a creditor and asserting that he had not received proper notice of the bankruptcy, filed a “Motion to Extend” seeking extension of proceedings and withholdin</w:t>
      </w:r>
      <w:r w:rsidR="00CD669A" w:rsidRPr="00A3136F">
        <w:rPr>
          <w:rFonts w:ascii="Times New Roman" w:hAnsi="Times New Roman" w:cs="Times New Roman"/>
        </w:rPr>
        <w:t xml:space="preserve">g discharge, which was denied. </w:t>
      </w:r>
      <w:r w:rsidRPr="00A3136F">
        <w:rPr>
          <w:rFonts w:ascii="Times New Roman" w:hAnsi="Times New Roman" w:cs="Times New Roman"/>
        </w:rPr>
        <w:t>The court entered the debtor’s disc</w:t>
      </w:r>
      <w:r w:rsidR="00CD669A" w:rsidRPr="00A3136F">
        <w:rPr>
          <w:rFonts w:ascii="Times New Roman" w:hAnsi="Times New Roman" w:cs="Times New Roman"/>
        </w:rPr>
        <w:t xml:space="preserve">harge and the case was closed. </w:t>
      </w:r>
      <w:r w:rsidRPr="00A3136F">
        <w:rPr>
          <w:rFonts w:ascii="Times New Roman" w:hAnsi="Times New Roman" w:cs="Times New Roman"/>
        </w:rPr>
        <w:t xml:space="preserve">Goldstein subsequently filed an adversary proceeding to determine the </w:t>
      </w:r>
      <w:proofErr w:type="spellStart"/>
      <w:r w:rsidRPr="00A3136F">
        <w:rPr>
          <w:rFonts w:ascii="Times New Roman" w:hAnsi="Times New Roman" w:cs="Times New Roman"/>
        </w:rPr>
        <w:t>nondischargeability</w:t>
      </w:r>
      <w:proofErr w:type="spellEnd"/>
      <w:r w:rsidRPr="00A3136F">
        <w:rPr>
          <w:rFonts w:ascii="Times New Roman" w:hAnsi="Times New Roman" w:cs="Times New Roman"/>
        </w:rPr>
        <w:t xml:space="preserve"> of debts, but at the instruction of the bankruptcy judge, the complaint was not docketed and an order was issued instructing Goldstein to file a motion to reopen </w:t>
      </w:r>
      <w:r w:rsidR="00CD669A" w:rsidRPr="00A3136F">
        <w:rPr>
          <w:rFonts w:ascii="Times New Roman" w:hAnsi="Times New Roman" w:cs="Times New Roman"/>
        </w:rPr>
        <w:t>the underlying bankruptcy case.</w:t>
      </w:r>
      <w:r w:rsidRPr="00A3136F">
        <w:rPr>
          <w:rFonts w:ascii="Times New Roman" w:hAnsi="Times New Roman" w:cs="Times New Roman"/>
        </w:rPr>
        <w:t xml:space="preserve"> In a subsequent order the bankruptcy court stated that absent a motion to reopen the proceedings the court would not allow the complaint to be filed.  </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The BAP reversed the bankruptcy court’s </w:t>
      </w:r>
      <w:r w:rsidR="00CD669A" w:rsidRPr="00A3136F">
        <w:rPr>
          <w:rFonts w:ascii="Times New Roman" w:hAnsi="Times New Roman" w:cs="Times New Roman"/>
        </w:rPr>
        <w:t xml:space="preserve">refusal to file the complaint. </w:t>
      </w:r>
      <w:r w:rsidRPr="00A3136F">
        <w:rPr>
          <w:rFonts w:ascii="Times New Roman" w:hAnsi="Times New Roman" w:cs="Times New Roman"/>
        </w:rPr>
        <w:t xml:space="preserve">The BAP noted that the filing of a </w:t>
      </w:r>
      <w:proofErr w:type="spellStart"/>
      <w:r w:rsidRPr="00A3136F">
        <w:rPr>
          <w:rFonts w:ascii="Times New Roman" w:hAnsi="Times New Roman" w:cs="Times New Roman"/>
        </w:rPr>
        <w:t>dischargeability</w:t>
      </w:r>
      <w:proofErr w:type="spellEnd"/>
      <w:r w:rsidRPr="00A3136F">
        <w:rPr>
          <w:rFonts w:ascii="Times New Roman" w:hAnsi="Times New Roman" w:cs="Times New Roman"/>
        </w:rPr>
        <w:t xml:space="preserve"> complaint does not affect the administration of the underlying bankruptcy case as it initiate</w:t>
      </w:r>
      <w:r w:rsidR="00CD669A" w:rsidRPr="00A3136F">
        <w:rPr>
          <w:rFonts w:ascii="Times New Roman" w:hAnsi="Times New Roman" w:cs="Times New Roman"/>
        </w:rPr>
        <w:t xml:space="preserve">s a new administrative matter. </w:t>
      </w:r>
      <w:r w:rsidRPr="00A3136F">
        <w:rPr>
          <w:rFonts w:ascii="Times New Roman" w:hAnsi="Times New Roman" w:cs="Times New Roman"/>
        </w:rPr>
        <w:t>The BAP held that reopening a case is not a prerequisite to filing</w:t>
      </w:r>
      <w:r w:rsidR="00CD669A" w:rsidRPr="00A3136F">
        <w:rPr>
          <w:rFonts w:ascii="Times New Roman" w:hAnsi="Times New Roman" w:cs="Times New Roman"/>
        </w:rPr>
        <w:t xml:space="preserve"> a </w:t>
      </w:r>
      <w:proofErr w:type="spellStart"/>
      <w:r w:rsidR="00CD669A" w:rsidRPr="00A3136F">
        <w:rPr>
          <w:rFonts w:ascii="Times New Roman" w:hAnsi="Times New Roman" w:cs="Times New Roman"/>
        </w:rPr>
        <w:t>dischargeability</w:t>
      </w:r>
      <w:proofErr w:type="spellEnd"/>
      <w:r w:rsidR="00CD669A" w:rsidRPr="00A3136F">
        <w:rPr>
          <w:rFonts w:ascii="Times New Roman" w:hAnsi="Times New Roman" w:cs="Times New Roman"/>
        </w:rPr>
        <w:t xml:space="preserve"> complaint. </w:t>
      </w:r>
      <w:r w:rsidRPr="00A3136F">
        <w:rPr>
          <w:rFonts w:ascii="Times New Roman" w:hAnsi="Times New Roman" w:cs="Times New Roman"/>
        </w:rPr>
        <w:t xml:space="preserve">The BAP also concluded that the bankruptcy court had erred in ruling in the alternative that even if filed, the complaint would have been dismissed on the merits, holding that a court should refrain from reaching the merits of the case on a motion to reopen.  </w:t>
      </w:r>
    </w:p>
    <w:p w:rsidR="000F0624" w:rsidRPr="00A3136F" w:rsidRDefault="000F0624"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b/>
        </w:rPr>
      </w:pPr>
      <w:proofErr w:type="spellStart"/>
      <w:r w:rsidRPr="00A3136F">
        <w:rPr>
          <w:rFonts w:ascii="Times New Roman" w:hAnsi="Times New Roman" w:cs="Times New Roman"/>
          <w:b/>
          <w:i/>
        </w:rPr>
        <w:t>Manty</w:t>
      </w:r>
      <w:proofErr w:type="spellEnd"/>
      <w:r w:rsidRPr="00A3136F">
        <w:rPr>
          <w:rFonts w:ascii="Times New Roman" w:hAnsi="Times New Roman" w:cs="Times New Roman"/>
          <w:b/>
          <w:i/>
        </w:rPr>
        <w:t xml:space="preserve"> v. Johnson (In re Johnson)</w:t>
      </w:r>
      <w:r w:rsidR="00A01FE7" w:rsidRPr="00A3136F">
        <w:rPr>
          <w:rFonts w:ascii="Times New Roman" w:hAnsi="Times New Roman" w:cs="Times New Roman"/>
          <w:b/>
        </w:rPr>
        <w:t>, 2014 WL 1593082 (B.A.P. 8</w:t>
      </w:r>
      <w:r w:rsidR="00A01FE7" w:rsidRPr="00A3136F">
        <w:rPr>
          <w:rFonts w:ascii="Times New Roman" w:hAnsi="Times New Roman" w:cs="Times New Roman"/>
          <w:b/>
          <w:vertAlign w:val="superscript"/>
        </w:rPr>
        <w:t>th</w:t>
      </w:r>
      <w:r w:rsidR="00A01FE7" w:rsidRPr="00A3136F">
        <w:rPr>
          <w:rFonts w:ascii="Times New Roman" w:hAnsi="Times New Roman" w:cs="Times New Roman"/>
          <w:b/>
        </w:rPr>
        <w:t xml:space="preserve"> Cir. April 22, 2014)</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The Trustee brought an objection to the Debtor’s claim of an exemption in a real property tax refund under § 550.37, </w:t>
      </w:r>
      <w:proofErr w:type="spellStart"/>
      <w:r w:rsidRPr="00A3136F">
        <w:rPr>
          <w:rFonts w:ascii="Times New Roman" w:hAnsi="Times New Roman" w:cs="Times New Roman"/>
        </w:rPr>
        <w:t>subd</w:t>
      </w:r>
      <w:proofErr w:type="spellEnd"/>
      <w:r w:rsidRPr="00A3136F">
        <w:rPr>
          <w:rFonts w:ascii="Times New Roman" w:hAnsi="Times New Roman" w:cs="Times New Roman"/>
        </w:rPr>
        <w:t xml:space="preserve">. </w:t>
      </w:r>
      <w:proofErr w:type="gramStart"/>
      <w:r w:rsidRPr="00A3136F">
        <w:rPr>
          <w:rFonts w:ascii="Times New Roman" w:hAnsi="Times New Roman" w:cs="Times New Roman"/>
        </w:rPr>
        <w:t>14 of the Minnesota Statutes as “governm</w:t>
      </w:r>
      <w:r w:rsidR="00CD669A" w:rsidRPr="00A3136F">
        <w:rPr>
          <w:rFonts w:ascii="Times New Roman" w:hAnsi="Times New Roman" w:cs="Times New Roman"/>
        </w:rPr>
        <w:t>ent assistance based on need.”</w:t>
      </w:r>
      <w:proofErr w:type="gramEnd"/>
      <w:r w:rsidR="00CD669A" w:rsidRPr="00A3136F">
        <w:rPr>
          <w:rFonts w:ascii="Times New Roman" w:hAnsi="Times New Roman" w:cs="Times New Roman"/>
        </w:rPr>
        <w:t xml:space="preserve"> </w:t>
      </w:r>
      <w:r w:rsidRPr="00A3136F">
        <w:rPr>
          <w:rFonts w:ascii="Times New Roman" w:hAnsi="Times New Roman" w:cs="Times New Roman"/>
        </w:rPr>
        <w:t xml:space="preserve">The bankruptcy court overruled the objection and allowed the exemption in the refund based on an earlier Bankruptcy Court ruling that held the federal Earned Income Credit (“EIC”) is exempt as “relief based on need.”   </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The BAP reversed</w:t>
      </w:r>
      <w:r w:rsidR="00CD669A" w:rsidRPr="00A3136F">
        <w:rPr>
          <w:rFonts w:ascii="Times New Roman" w:hAnsi="Times New Roman" w:cs="Times New Roman"/>
        </w:rPr>
        <w:t xml:space="preserve"> the bankruptcy court’s order. </w:t>
      </w:r>
      <w:r w:rsidRPr="00A3136F">
        <w:rPr>
          <w:rFonts w:ascii="Times New Roman" w:hAnsi="Times New Roman" w:cs="Times New Roman"/>
        </w:rPr>
        <w:t>The BAP drew a distinction between the EIC and the property tax refund, noting that the United States Supreme Court has stated the purpose of the EIC was to provide relief for low income families, whereas the property tax refund was available to peo</w:t>
      </w:r>
      <w:r w:rsidR="00CD669A" w:rsidRPr="00A3136F">
        <w:rPr>
          <w:rFonts w:ascii="Times New Roman" w:hAnsi="Times New Roman" w:cs="Times New Roman"/>
        </w:rPr>
        <w:t xml:space="preserve">ple earning more than $100,000. </w:t>
      </w:r>
      <w:r w:rsidRPr="00A3136F">
        <w:rPr>
          <w:rFonts w:ascii="Times New Roman" w:hAnsi="Times New Roman" w:cs="Times New Roman"/>
        </w:rPr>
        <w:t>The BAP also relied upon the fact that the EIC is not a refund, as a person is entitled to receive it regardless of whether they paid taxes at all, but the property tax refund represents taxes that the Debtor has overpaid.</w:t>
      </w:r>
    </w:p>
    <w:p w:rsidR="00187CA9" w:rsidRPr="00A3136F" w:rsidRDefault="00187CA9" w:rsidP="00CD669A">
      <w:pPr>
        <w:spacing w:after="0" w:line="240" w:lineRule="auto"/>
        <w:jc w:val="both"/>
        <w:rPr>
          <w:rFonts w:ascii="Times New Roman" w:hAnsi="Times New Roman" w:cs="Times New Roman"/>
          <w:b/>
          <w:i/>
        </w:rPr>
      </w:pPr>
    </w:p>
    <w:p w:rsidR="000F0624" w:rsidRPr="00A3136F" w:rsidRDefault="000F0624" w:rsidP="00CD669A">
      <w:pPr>
        <w:spacing w:after="0" w:line="240" w:lineRule="auto"/>
        <w:jc w:val="both"/>
        <w:rPr>
          <w:rFonts w:ascii="Times New Roman" w:hAnsi="Times New Roman" w:cs="Times New Roman"/>
          <w:b/>
        </w:rPr>
      </w:pPr>
      <w:proofErr w:type="spellStart"/>
      <w:r w:rsidRPr="00A3136F">
        <w:rPr>
          <w:rFonts w:ascii="Times New Roman" w:hAnsi="Times New Roman" w:cs="Times New Roman"/>
          <w:b/>
          <w:i/>
        </w:rPr>
        <w:t>Ocwen</w:t>
      </w:r>
      <w:proofErr w:type="spellEnd"/>
      <w:r w:rsidRPr="00A3136F">
        <w:rPr>
          <w:rFonts w:ascii="Times New Roman" w:hAnsi="Times New Roman" w:cs="Times New Roman"/>
          <w:b/>
          <w:i/>
        </w:rPr>
        <w:t xml:space="preserve"> Loan Servicing LLC v Summit Bank, N.A., et al (In re Francis)</w:t>
      </w:r>
      <w:r w:rsidR="00A01FE7" w:rsidRPr="00A3136F">
        <w:rPr>
          <w:rFonts w:ascii="Times New Roman" w:hAnsi="Times New Roman" w:cs="Times New Roman"/>
          <w:b/>
        </w:rPr>
        <w:t>, 2014 WL 1644171 (8</w:t>
      </w:r>
      <w:r w:rsidR="00A01FE7" w:rsidRPr="00A3136F">
        <w:rPr>
          <w:rFonts w:ascii="Times New Roman" w:hAnsi="Times New Roman" w:cs="Times New Roman"/>
          <w:b/>
          <w:vertAlign w:val="superscript"/>
        </w:rPr>
        <w:t>th</w:t>
      </w:r>
      <w:r w:rsidR="00A01FE7" w:rsidRPr="00A3136F">
        <w:rPr>
          <w:rFonts w:ascii="Times New Roman" w:hAnsi="Times New Roman" w:cs="Times New Roman"/>
          <w:b/>
        </w:rPr>
        <w:t xml:space="preserve"> Cir. April 25, 2014) </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lastRenderedPageBreak/>
        <w:t xml:space="preserve">GMAC Mortgage Corporation (“GMAC”), predecessor in interest </w:t>
      </w:r>
      <w:r w:rsidR="00187CA9" w:rsidRPr="00A3136F">
        <w:rPr>
          <w:rFonts w:ascii="Times New Roman" w:hAnsi="Times New Roman" w:cs="Times New Roman"/>
        </w:rPr>
        <w:t xml:space="preserve">to </w:t>
      </w:r>
      <w:proofErr w:type="spellStart"/>
      <w:r w:rsidR="00187CA9" w:rsidRPr="00A3136F">
        <w:rPr>
          <w:rFonts w:ascii="Times New Roman" w:hAnsi="Times New Roman" w:cs="Times New Roman"/>
        </w:rPr>
        <w:t>Ocwen</w:t>
      </w:r>
      <w:proofErr w:type="spellEnd"/>
      <w:r w:rsidR="00187CA9" w:rsidRPr="00A3136F">
        <w:rPr>
          <w:rFonts w:ascii="Times New Roman" w:hAnsi="Times New Roman" w:cs="Times New Roman"/>
        </w:rPr>
        <w:t xml:space="preserve"> Loan Servicing LLC (“</w:t>
      </w:r>
      <w:proofErr w:type="spellStart"/>
      <w:r w:rsidR="00187CA9" w:rsidRPr="00A3136F">
        <w:rPr>
          <w:rFonts w:ascii="Times New Roman" w:hAnsi="Times New Roman" w:cs="Times New Roman"/>
        </w:rPr>
        <w:t>O</w:t>
      </w:r>
      <w:r w:rsidRPr="00A3136F">
        <w:rPr>
          <w:rFonts w:ascii="Times New Roman" w:hAnsi="Times New Roman" w:cs="Times New Roman"/>
        </w:rPr>
        <w:t>c</w:t>
      </w:r>
      <w:r w:rsidR="00187CA9" w:rsidRPr="00A3136F">
        <w:rPr>
          <w:rFonts w:ascii="Times New Roman" w:hAnsi="Times New Roman" w:cs="Times New Roman"/>
        </w:rPr>
        <w:t>w</w:t>
      </w:r>
      <w:r w:rsidRPr="00A3136F">
        <w:rPr>
          <w:rFonts w:ascii="Times New Roman" w:hAnsi="Times New Roman" w:cs="Times New Roman"/>
        </w:rPr>
        <w:t>en</w:t>
      </w:r>
      <w:proofErr w:type="spellEnd"/>
      <w:r w:rsidRPr="00A3136F">
        <w:rPr>
          <w:rFonts w:ascii="Times New Roman" w:hAnsi="Times New Roman" w:cs="Times New Roman"/>
        </w:rPr>
        <w:t>”) brought an adversary proceeding claiming an entitlement to a first-</w:t>
      </w:r>
      <w:proofErr w:type="spellStart"/>
      <w:r w:rsidRPr="00A3136F">
        <w:rPr>
          <w:rFonts w:ascii="Times New Roman" w:hAnsi="Times New Roman" w:cs="Times New Roman"/>
        </w:rPr>
        <w:t>priorty</w:t>
      </w:r>
      <w:proofErr w:type="spellEnd"/>
      <w:r w:rsidRPr="00A3136F">
        <w:rPr>
          <w:rFonts w:ascii="Times New Roman" w:hAnsi="Times New Roman" w:cs="Times New Roman"/>
        </w:rPr>
        <w:t xml:space="preserve"> line by operation of the doctrine of equitable subrogation, or reformation due to mutual mistake in</w:t>
      </w:r>
      <w:r w:rsidR="00CD669A" w:rsidRPr="00A3136F">
        <w:rPr>
          <w:rFonts w:ascii="Times New Roman" w:hAnsi="Times New Roman" w:cs="Times New Roman"/>
        </w:rPr>
        <w:t xml:space="preserve"> a mortgage for real property. </w:t>
      </w:r>
      <w:r w:rsidRPr="00A3136F">
        <w:rPr>
          <w:rFonts w:ascii="Times New Roman" w:hAnsi="Times New Roman" w:cs="Times New Roman"/>
        </w:rPr>
        <w:t>The Debtors had entered into a transaction with GMAC to refinance a loan in exchange for a first-</w:t>
      </w:r>
      <w:r w:rsidR="00CD669A" w:rsidRPr="00A3136F">
        <w:rPr>
          <w:rFonts w:ascii="Times New Roman" w:hAnsi="Times New Roman" w:cs="Times New Roman"/>
        </w:rPr>
        <w:t xml:space="preserve">priority lien on the property. </w:t>
      </w:r>
      <w:r w:rsidRPr="00A3136F">
        <w:rPr>
          <w:rFonts w:ascii="Times New Roman" w:hAnsi="Times New Roman" w:cs="Times New Roman"/>
        </w:rPr>
        <w:t>GMAC prepared the mortgage documents, but mistakenly included the property de</w:t>
      </w:r>
      <w:r w:rsidR="00CD669A" w:rsidRPr="00A3136F">
        <w:rPr>
          <w:rFonts w:ascii="Times New Roman" w:hAnsi="Times New Roman" w:cs="Times New Roman"/>
        </w:rPr>
        <w:t xml:space="preserve">scription of an adjacent plot. </w:t>
      </w:r>
      <w:r w:rsidRPr="00A3136F">
        <w:rPr>
          <w:rFonts w:ascii="Times New Roman" w:hAnsi="Times New Roman" w:cs="Times New Roman"/>
        </w:rPr>
        <w:t xml:space="preserve">The mortgage was singed and filed with the mistaken information.  </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r w:rsidRPr="00A3136F">
        <w:rPr>
          <w:rFonts w:ascii="Times New Roman" w:hAnsi="Times New Roman" w:cs="Times New Roman"/>
        </w:rPr>
        <w:t>The Debtor later learned of the mistake and informed GMAC, who failed to correc</w:t>
      </w:r>
      <w:r w:rsidR="00CD669A" w:rsidRPr="00A3136F">
        <w:rPr>
          <w:rFonts w:ascii="Times New Roman" w:hAnsi="Times New Roman" w:cs="Times New Roman"/>
        </w:rPr>
        <w:t xml:space="preserve">t the property description. </w:t>
      </w:r>
      <w:r w:rsidRPr="00A3136F">
        <w:rPr>
          <w:rFonts w:ascii="Times New Roman" w:hAnsi="Times New Roman" w:cs="Times New Roman"/>
        </w:rPr>
        <w:t xml:space="preserve">The Debtor subsequently entered into a series of loan transactions with Summit Bank (“Summit”) and Southern State Bank (“Southern State”) secured by the same property.  Summit and Southern were informed by the Debtor of the mistake in the GMAC mortgage and GMAC’s failure to correct it. </w:t>
      </w:r>
    </w:p>
    <w:p w:rsidR="00187CA9" w:rsidRPr="00A3136F" w:rsidRDefault="00187CA9" w:rsidP="00CD669A">
      <w:pPr>
        <w:spacing w:after="0" w:line="240" w:lineRule="auto"/>
        <w:jc w:val="both"/>
        <w:rPr>
          <w:rFonts w:ascii="Times New Roman" w:hAnsi="Times New Roman" w:cs="Times New Roman"/>
        </w:rPr>
      </w:pPr>
    </w:p>
    <w:p w:rsidR="000F0624" w:rsidRPr="00A3136F" w:rsidRDefault="000F0624" w:rsidP="00CD669A">
      <w:pPr>
        <w:spacing w:after="0" w:line="240" w:lineRule="auto"/>
        <w:jc w:val="both"/>
        <w:rPr>
          <w:rFonts w:ascii="Times New Roman" w:hAnsi="Times New Roman" w:cs="Times New Roman"/>
        </w:rPr>
      </w:pPr>
      <w:proofErr w:type="spellStart"/>
      <w:r w:rsidRPr="00A3136F">
        <w:rPr>
          <w:rFonts w:ascii="Times New Roman" w:hAnsi="Times New Roman" w:cs="Times New Roman"/>
        </w:rPr>
        <w:t>Ocwen</w:t>
      </w:r>
      <w:proofErr w:type="spellEnd"/>
      <w:r w:rsidRPr="00A3136F">
        <w:rPr>
          <w:rFonts w:ascii="Times New Roman" w:hAnsi="Times New Roman" w:cs="Times New Roman"/>
        </w:rPr>
        <w:t xml:space="preserve"> argued that equitable subrogation was proper because both Summit and Southern State had ac</w:t>
      </w:r>
      <w:r w:rsidR="00CD669A" w:rsidRPr="00A3136F">
        <w:rPr>
          <w:rFonts w:ascii="Times New Roman" w:hAnsi="Times New Roman" w:cs="Times New Roman"/>
        </w:rPr>
        <w:t>tual knowledge of the mistake.</w:t>
      </w:r>
      <w:r w:rsidRPr="00A3136F">
        <w:rPr>
          <w:rFonts w:ascii="Times New Roman" w:hAnsi="Times New Roman" w:cs="Times New Roman"/>
        </w:rPr>
        <w:t xml:space="preserve"> The Eighth Circuit, in affirming the District Courts denial of relief, held that knowledge of the mistake was not knowledge that GMAC had a superior unrecorded interest because GMAC had made no attem</w:t>
      </w:r>
      <w:r w:rsidR="00CD669A" w:rsidRPr="00A3136F">
        <w:rPr>
          <w:rFonts w:ascii="Times New Roman" w:hAnsi="Times New Roman" w:cs="Times New Roman"/>
        </w:rPr>
        <w:t xml:space="preserve">pt to correct the known error. </w:t>
      </w:r>
      <w:r w:rsidRPr="00A3136F">
        <w:rPr>
          <w:rFonts w:ascii="Times New Roman" w:hAnsi="Times New Roman" w:cs="Times New Roman"/>
        </w:rPr>
        <w:t>The Eighth Circuit also held that under the Arkansas mortgage recording statute, knowledge of a defective prior mortgage does not alter the lien priorit</w:t>
      </w:r>
      <w:r w:rsidR="00CD669A" w:rsidRPr="00A3136F">
        <w:rPr>
          <w:rFonts w:ascii="Times New Roman" w:hAnsi="Times New Roman" w:cs="Times New Roman"/>
        </w:rPr>
        <w:t xml:space="preserve">y provided for by the statute. </w:t>
      </w:r>
      <w:r w:rsidRPr="00A3136F">
        <w:rPr>
          <w:rFonts w:ascii="Times New Roman" w:hAnsi="Times New Roman" w:cs="Times New Roman"/>
        </w:rPr>
        <w:t xml:space="preserve">Finally, the Eighth Circuit held that GMAC was at fault for its position and thus subrogation was not warranted.    </w:t>
      </w:r>
    </w:p>
    <w:p w:rsidR="00187CA9" w:rsidRPr="00A3136F" w:rsidRDefault="00187CA9" w:rsidP="00187CA9">
      <w:pPr>
        <w:spacing w:after="0" w:line="240" w:lineRule="auto"/>
        <w:rPr>
          <w:rFonts w:ascii="Times New Roman" w:hAnsi="Times New Roman" w:cs="Times New Roman"/>
          <w:b/>
          <w:u w:val="single"/>
        </w:rPr>
      </w:pPr>
    </w:p>
    <w:p w:rsidR="00F30537" w:rsidRPr="00A3136F" w:rsidRDefault="00F30537" w:rsidP="00187CA9">
      <w:pPr>
        <w:spacing w:after="0" w:line="240" w:lineRule="auto"/>
        <w:rPr>
          <w:rFonts w:ascii="Times New Roman" w:hAnsi="Times New Roman" w:cs="Times New Roman"/>
        </w:rPr>
      </w:pPr>
      <w:r w:rsidRPr="00A3136F">
        <w:rPr>
          <w:rFonts w:ascii="Times New Roman" w:hAnsi="Times New Roman" w:cs="Times New Roman"/>
          <w:i/>
        </w:rPr>
        <w:t>Submitted by:</w:t>
      </w:r>
    </w:p>
    <w:p w:rsidR="00F30537" w:rsidRPr="00A3136F" w:rsidRDefault="00F30537" w:rsidP="00F30537">
      <w:pPr>
        <w:spacing w:after="0"/>
        <w:rPr>
          <w:rFonts w:ascii="Times New Roman" w:hAnsi="Times New Roman" w:cs="Times New Roman"/>
        </w:rPr>
      </w:pPr>
      <w:r w:rsidRPr="00A3136F">
        <w:rPr>
          <w:rStyle w:val="Strong"/>
          <w:rFonts w:ascii="Times New Roman" w:hAnsi="Times New Roman"/>
        </w:rPr>
        <w:t xml:space="preserve">Matthew S. </w:t>
      </w:r>
      <w:proofErr w:type="spellStart"/>
      <w:r w:rsidRPr="00A3136F">
        <w:rPr>
          <w:rStyle w:val="Strong"/>
          <w:rFonts w:ascii="Times New Roman" w:hAnsi="Times New Roman"/>
        </w:rPr>
        <w:t>Sepuya</w:t>
      </w:r>
      <w:proofErr w:type="spellEnd"/>
    </w:p>
    <w:p w:rsidR="00F30537" w:rsidRPr="00A3136F" w:rsidRDefault="00F30537" w:rsidP="00F30537">
      <w:pPr>
        <w:spacing w:after="0"/>
        <w:rPr>
          <w:rStyle w:val="Strong"/>
          <w:rFonts w:ascii="Times New Roman" w:hAnsi="Times New Roman"/>
          <w:b w:val="0"/>
        </w:rPr>
      </w:pPr>
      <w:r w:rsidRPr="00A3136F">
        <w:rPr>
          <w:rStyle w:val="Strong"/>
          <w:rFonts w:ascii="Times New Roman" w:hAnsi="Times New Roman"/>
          <w:b w:val="0"/>
        </w:rPr>
        <w:t>Diamond McCarthy LLP</w:t>
      </w:r>
    </w:p>
    <w:p w:rsidR="00F30537" w:rsidRPr="00A3136F" w:rsidRDefault="00F30537" w:rsidP="00F30537">
      <w:pPr>
        <w:spacing w:after="0"/>
        <w:rPr>
          <w:rFonts w:ascii="Times New Roman" w:hAnsi="Times New Roman" w:cs="Times New Roman"/>
          <w:b/>
        </w:rPr>
      </w:pPr>
      <w:r w:rsidRPr="00A3136F">
        <w:rPr>
          <w:rStyle w:val="Strong"/>
          <w:rFonts w:ascii="Times New Roman" w:hAnsi="Times New Roman"/>
          <w:b w:val="0"/>
        </w:rPr>
        <w:t>150 California Street, Suite 2200</w:t>
      </w:r>
    </w:p>
    <w:p w:rsidR="00F30537" w:rsidRPr="00A3136F" w:rsidRDefault="00F30537" w:rsidP="00F30537">
      <w:pPr>
        <w:spacing w:after="0"/>
        <w:rPr>
          <w:rFonts w:ascii="Times New Roman" w:hAnsi="Times New Roman" w:cs="Times New Roman"/>
          <w:b/>
        </w:rPr>
      </w:pPr>
      <w:r w:rsidRPr="00A3136F">
        <w:rPr>
          <w:rStyle w:val="Strong"/>
          <w:rFonts w:ascii="Times New Roman" w:hAnsi="Times New Roman"/>
          <w:b w:val="0"/>
        </w:rPr>
        <w:t>San Francisco, California 94111</w:t>
      </w:r>
    </w:p>
    <w:p w:rsidR="00F30537" w:rsidRPr="00A3136F" w:rsidRDefault="00F30537" w:rsidP="00F30537">
      <w:pPr>
        <w:spacing w:after="0"/>
        <w:rPr>
          <w:rFonts w:ascii="Times New Roman" w:hAnsi="Times New Roman" w:cs="Times New Roman"/>
        </w:rPr>
      </w:pPr>
      <w:r w:rsidRPr="00A3136F">
        <w:rPr>
          <w:rFonts w:ascii="Times New Roman" w:hAnsi="Times New Roman" w:cs="Times New Roman"/>
        </w:rPr>
        <w:t>415-692-5200 direct </w:t>
      </w:r>
    </w:p>
    <w:p w:rsidR="00F30537" w:rsidRPr="00A3136F" w:rsidRDefault="00F30537" w:rsidP="00F30537">
      <w:pPr>
        <w:spacing w:after="0"/>
        <w:rPr>
          <w:rFonts w:ascii="Times New Roman" w:hAnsi="Times New Roman" w:cs="Times New Roman"/>
        </w:rPr>
      </w:pPr>
      <w:r w:rsidRPr="00A3136F">
        <w:rPr>
          <w:rFonts w:ascii="Times New Roman" w:hAnsi="Times New Roman" w:cs="Times New Roman"/>
        </w:rPr>
        <w:t xml:space="preserve">415-263-9200 fax </w:t>
      </w:r>
    </w:p>
    <w:p w:rsidR="00187CA9" w:rsidRPr="00A3136F" w:rsidRDefault="00A3136F" w:rsidP="00187CA9">
      <w:pPr>
        <w:spacing w:after="0" w:line="240" w:lineRule="auto"/>
        <w:rPr>
          <w:rFonts w:ascii="Times New Roman" w:hAnsi="Times New Roman" w:cs="Times New Roman"/>
        </w:rPr>
      </w:pPr>
      <w:hyperlink r:id="rId13" w:history="1">
        <w:r w:rsidR="00F30537" w:rsidRPr="00A3136F">
          <w:rPr>
            <w:rStyle w:val="Hyperlink"/>
            <w:rFonts w:ascii="Times New Roman" w:hAnsi="Times New Roman"/>
          </w:rPr>
          <w:t>www.DiamondMcCarthy.com</w:t>
        </w:r>
      </w:hyperlink>
    </w:p>
    <w:p w:rsidR="00F30537" w:rsidRPr="00A3136F" w:rsidRDefault="00F30537" w:rsidP="00187CA9">
      <w:pPr>
        <w:spacing w:after="0" w:line="240" w:lineRule="auto"/>
        <w:rPr>
          <w:rFonts w:ascii="Times New Roman" w:hAnsi="Times New Roman" w:cs="Times New Roman"/>
        </w:rPr>
      </w:pPr>
    </w:p>
    <w:p w:rsidR="001C1524" w:rsidRPr="00A3136F" w:rsidRDefault="001C1524" w:rsidP="00187CA9">
      <w:pPr>
        <w:spacing w:after="0" w:line="240" w:lineRule="auto"/>
        <w:rPr>
          <w:rFonts w:ascii="Times New Roman" w:hAnsi="Times New Roman" w:cs="Times New Roman"/>
        </w:rPr>
      </w:pPr>
    </w:p>
    <w:p w:rsidR="00C53A98" w:rsidRPr="00A3136F" w:rsidRDefault="00C53A98" w:rsidP="00187CA9">
      <w:pPr>
        <w:spacing w:after="0" w:line="240" w:lineRule="auto"/>
        <w:rPr>
          <w:rFonts w:ascii="Times New Roman" w:hAnsi="Times New Roman" w:cs="Times New Roman"/>
          <w:b/>
          <w:u w:val="single"/>
        </w:rPr>
      </w:pPr>
      <w:r w:rsidRPr="00A3136F">
        <w:rPr>
          <w:rFonts w:ascii="Times New Roman" w:hAnsi="Times New Roman" w:cs="Times New Roman"/>
          <w:b/>
          <w:u w:val="single"/>
        </w:rPr>
        <w:t>Ninth Circuit</w:t>
      </w:r>
    </w:p>
    <w:p w:rsidR="00C53A98" w:rsidRPr="00A3136F" w:rsidRDefault="00C53A98" w:rsidP="00187CA9">
      <w:pPr>
        <w:spacing w:after="0" w:line="240" w:lineRule="auto"/>
        <w:rPr>
          <w:rFonts w:ascii="Times New Roman" w:hAnsi="Times New Roman" w:cs="Times New Roman"/>
          <w:b/>
          <w:u w:val="single"/>
        </w:rPr>
      </w:pPr>
    </w:p>
    <w:p w:rsidR="00C53A98" w:rsidRPr="00A3136F" w:rsidRDefault="00C53A98" w:rsidP="00C53A98">
      <w:pPr>
        <w:spacing w:after="0" w:line="240" w:lineRule="auto"/>
        <w:rPr>
          <w:rFonts w:ascii="Times New Roman" w:hAnsi="Times New Roman" w:cs="Times New Roman"/>
          <w:b/>
        </w:rPr>
      </w:pPr>
      <w:r w:rsidRPr="00A3136F">
        <w:rPr>
          <w:rFonts w:ascii="Times New Roman" w:hAnsi="Times New Roman" w:cs="Times New Roman"/>
          <w:b/>
          <w:i/>
        </w:rPr>
        <w:t>In re Schwartz-</w:t>
      </w:r>
      <w:proofErr w:type="spellStart"/>
      <w:r w:rsidRPr="00A3136F">
        <w:rPr>
          <w:rFonts w:ascii="Times New Roman" w:hAnsi="Times New Roman" w:cs="Times New Roman"/>
          <w:b/>
          <w:i/>
        </w:rPr>
        <w:t>Tallard</w:t>
      </w:r>
      <w:proofErr w:type="spellEnd"/>
      <w:r w:rsidRPr="00A3136F">
        <w:rPr>
          <w:rFonts w:ascii="Times New Roman" w:hAnsi="Times New Roman" w:cs="Times New Roman"/>
          <w:b/>
        </w:rPr>
        <w:t>, 2014 WL 1465698 (9th Cir. Apr. 16, 2014)</w:t>
      </w:r>
    </w:p>
    <w:p w:rsidR="00C53A98" w:rsidRPr="00A3136F" w:rsidRDefault="00C53A98" w:rsidP="00C53A98">
      <w:pPr>
        <w:spacing w:after="0" w:line="240" w:lineRule="auto"/>
        <w:rPr>
          <w:rFonts w:ascii="Times New Roman" w:hAnsi="Times New Roman" w:cs="Times New Roman"/>
          <w:b/>
        </w:rPr>
      </w:pPr>
    </w:p>
    <w:p w:rsidR="00C53A98" w:rsidRPr="00A3136F" w:rsidRDefault="00C53A98" w:rsidP="00CD669A">
      <w:pPr>
        <w:spacing w:after="0" w:line="240" w:lineRule="auto"/>
        <w:jc w:val="both"/>
        <w:rPr>
          <w:rFonts w:ascii="Times New Roman" w:hAnsi="Times New Roman" w:cs="Times New Roman"/>
        </w:rPr>
      </w:pPr>
      <w:r w:rsidRPr="00A3136F">
        <w:rPr>
          <w:rFonts w:ascii="Times New Roman" w:hAnsi="Times New Roman" w:cs="Times New Roman"/>
        </w:rPr>
        <w:t>On April 16, 2014, the United States Court of Appeals affirmed the United States Bankruptcy Appellate Panel’s decision granting debtor’s request for attorney’s fees pursuant to 11 U.S.C. § 362(K)(1).</w:t>
      </w:r>
    </w:p>
    <w:p w:rsidR="00C53A98" w:rsidRPr="00A3136F" w:rsidRDefault="00C53A98" w:rsidP="00C53A98">
      <w:pPr>
        <w:spacing w:after="0" w:line="240" w:lineRule="auto"/>
        <w:rPr>
          <w:rFonts w:ascii="Times New Roman" w:hAnsi="Times New Roman" w:cs="Times New Roman"/>
        </w:rPr>
      </w:pPr>
    </w:p>
    <w:p w:rsidR="00C53A98" w:rsidRPr="00A3136F" w:rsidRDefault="00C53A98" w:rsidP="00C53A98">
      <w:pPr>
        <w:spacing w:after="0" w:line="240" w:lineRule="auto"/>
        <w:rPr>
          <w:rFonts w:ascii="Times New Roman" w:hAnsi="Times New Roman" w:cs="Times New Roman"/>
        </w:rPr>
      </w:pPr>
      <w:r w:rsidRPr="00A3136F">
        <w:rPr>
          <w:rFonts w:ascii="Times New Roman" w:hAnsi="Times New Roman" w:cs="Times New Roman"/>
        </w:rPr>
        <w:t>Notable Points to Bankruptcy Practitioner:</w:t>
      </w:r>
    </w:p>
    <w:p w:rsidR="00CD669A" w:rsidRPr="00A3136F" w:rsidRDefault="00CD669A" w:rsidP="00CD669A">
      <w:pPr>
        <w:spacing w:after="0" w:line="240" w:lineRule="auto"/>
        <w:jc w:val="both"/>
        <w:rPr>
          <w:rFonts w:ascii="Times New Roman" w:hAnsi="Times New Roman" w:cs="Times New Roman"/>
        </w:rPr>
      </w:pPr>
    </w:p>
    <w:p w:rsidR="00C53A98" w:rsidRPr="00A3136F" w:rsidRDefault="00CD669A" w:rsidP="00CD669A">
      <w:pPr>
        <w:spacing w:after="0" w:line="240" w:lineRule="auto"/>
        <w:jc w:val="both"/>
        <w:rPr>
          <w:rFonts w:ascii="Times New Roman" w:hAnsi="Times New Roman" w:cs="Times New Roman"/>
        </w:rPr>
      </w:pPr>
      <w:r w:rsidRPr="00A3136F">
        <w:rPr>
          <w:rFonts w:ascii="Times New Roman" w:hAnsi="Times New Roman" w:cs="Times New Roman"/>
        </w:rPr>
        <w:t>T</w:t>
      </w:r>
      <w:r w:rsidR="00C53A98" w:rsidRPr="00A3136F">
        <w:rPr>
          <w:rFonts w:ascii="Times New Roman" w:hAnsi="Times New Roman" w:cs="Times New Roman"/>
        </w:rPr>
        <w:t>he issue on appeal was whether a debtor in bankruptcy could recover, as damages, attorney’s fees for defending against a creditor’s appeal of a finding that the credito</w:t>
      </w:r>
      <w:r w:rsidRPr="00A3136F">
        <w:rPr>
          <w:rFonts w:ascii="Times New Roman" w:hAnsi="Times New Roman" w:cs="Times New Roman"/>
        </w:rPr>
        <w:t xml:space="preserve">r violated the automatic stay. </w:t>
      </w:r>
      <w:r w:rsidR="00C53A98" w:rsidRPr="00A3136F">
        <w:rPr>
          <w:rFonts w:ascii="Times New Roman" w:hAnsi="Times New Roman" w:cs="Times New Roman"/>
        </w:rPr>
        <w:t>Section 362(k</w:t>
      </w:r>
      <w:proofErr w:type="gramStart"/>
      <w:r w:rsidR="00C53A98" w:rsidRPr="00A3136F">
        <w:rPr>
          <w:rFonts w:ascii="Times New Roman" w:hAnsi="Times New Roman" w:cs="Times New Roman"/>
        </w:rPr>
        <w:t>)(</w:t>
      </w:r>
      <w:proofErr w:type="gramEnd"/>
      <w:r w:rsidR="00C53A98" w:rsidRPr="00A3136F">
        <w:rPr>
          <w:rFonts w:ascii="Times New Roman" w:hAnsi="Times New Roman" w:cs="Times New Roman"/>
        </w:rPr>
        <w:t xml:space="preserve">1) provides that “an individual injured by any willful violation of a </w:t>
      </w:r>
      <w:r w:rsidRPr="00A3136F">
        <w:rPr>
          <w:rFonts w:ascii="Times New Roman" w:hAnsi="Times New Roman" w:cs="Times New Roman"/>
        </w:rPr>
        <w:t>stay…</w:t>
      </w:r>
      <w:r w:rsidR="00C53A98" w:rsidRPr="00A3136F">
        <w:rPr>
          <w:rFonts w:ascii="Times New Roman" w:hAnsi="Times New Roman" w:cs="Times New Roman"/>
        </w:rPr>
        <w:t>shall</w:t>
      </w:r>
      <w:r w:rsidRPr="00A3136F">
        <w:rPr>
          <w:rFonts w:ascii="Times New Roman" w:hAnsi="Times New Roman" w:cs="Times New Roman"/>
        </w:rPr>
        <w:t xml:space="preserve"> </w:t>
      </w:r>
      <w:r w:rsidR="00C53A98" w:rsidRPr="00A3136F">
        <w:rPr>
          <w:rFonts w:ascii="Times New Roman" w:hAnsi="Times New Roman" w:cs="Times New Roman"/>
        </w:rPr>
        <w:t>recover actual damages, includi</w:t>
      </w:r>
      <w:r w:rsidRPr="00A3136F">
        <w:rPr>
          <w:rFonts w:ascii="Times New Roman" w:hAnsi="Times New Roman" w:cs="Times New Roman"/>
        </w:rPr>
        <w:t xml:space="preserve">ng costs and attorneys’ fees.” </w:t>
      </w:r>
      <w:r w:rsidR="00C53A98" w:rsidRPr="00A3136F">
        <w:rPr>
          <w:rFonts w:ascii="Times New Roman" w:hAnsi="Times New Roman" w:cs="Times New Roman"/>
        </w:rPr>
        <w:t>However, the Ninth Circuit recently held in Sternberg v. Johnston, 595 F.3d 937 (9th Cir. 2010), that a debtor’s filing of an adversary proceeding seeking damages for a stay violation were not actual damages under § 362. The Ninth Circuit in Sternberg stated that once the violation of the stay had ended any fees the debtor accrues after that point in pursuit of a damage award would not compensate for “actu</w:t>
      </w:r>
      <w:r w:rsidRPr="00A3136F">
        <w:rPr>
          <w:rFonts w:ascii="Times New Roman" w:hAnsi="Times New Roman" w:cs="Times New Roman"/>
        </w:rPr>
        <w:t xml:space="preserve">al damages” under § 362(k)(1). </w:t>
      </w:r>
      <w:r w:rsidR="00C53A98" w:rsidRPr="00A3136F">
        <w:rPr>
          <w:rFonts w:ascii="Times New Roman" w:hAnsi="Times New Roman" w:cs="Times New Roman"/>
        </w:rPr>
        <w:t xml:space="preserve">Here, the Court determined the </w:t>
      </w:r>
      <w:r w:rsidR="00C53A98" w:rsidRPr="00A3136F">
        <w:rPr>
          <w:rFonts w:ascii="Times New Roman" w:hAnsi="Times New Roman" w:cs="Times New Roman"/>
        </w:rPr>
        <w:lastRenderedPageBreak/>
        <w:t>facts to be a</w:t>
      </w:r>
      <w:r w:rsidRPr="00A3136F">
        <w:rPr>
          <w:rFonts w:ascii="Times New Roman" w:hAnsi="Times New Roman" w:cs="Times New Roman"/>
        </w:rPr>
        <w:t xml:space="preserve"> bit different than Sternberg, </w:t>
      </w:r>
      <w:r w:rsidR="00C53A98" w:rsidRPr="00A3136F">
        <w:rPr>
          <w:rFonts w:ascii="Times New Roman" w:hAnsi="Times New Roman" w:cs="Times New Roman"/>
        </w:rPr>
        <w:t xml:space="preserve">and that the debtor was seeking attorney fees in defense of an appeal, not in the pursuit of damages.  </w:t>
      </w:r>
    </w:p>
    <w:p w:rsidR="00CD669A" w:rsidRPr="00A3136F" w:rsidRDefault="00CD669A" w:rsidP="00CD669A">
      <w:pPr>
        <w:spacing w:after="0" w:line="240" w:lineRule="auto"/>
        <w:rPr>
          <w:rFonts w:ascii="Times New Roman" w:hAnsi="Times New Roman" w:cs="Times New Roman"/>
        </w:rPr>
      </w:pPr>
    </w:p>
    <w:p w:rsidR="00C53A98" w:rsidRPr="00A3136F" w:rsidRDefault="00C53A98"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Circuit Judge Wallace filed a strong dissent based on both the application of precedent by the Ninth Circuit, but also on the Constitutional powers of the BAP to apply its own precedent, notwithstanding the fact that Ninth Circuit had previously rejected this statement of law at issue.  </w:t>
      </w:r>
    </w:p>
    <w:p w:rsidR="00C53A98" w:rsidRPr="00A3136F" w:rsidRDefault="00C53A98" w:rsidP="00C53A98">
      <w:pPr>
        <w:spacing w:after="0" w:line="240" w:lineRule="auto"/>
        <w:rPr>
          <w:rFonts w:ascii="Times New Roman" w:hAnsi="Times New Roman" w:cs="Times New Roman"/>
        </w:rPr>
      </w:pPr>
    </w:p>
    <w:p w:rsidR="00C53A98" w:rsidRPr="00A3136F" w:rsidRDefault="00C53A98" w:rsidP="00C53A98">
      <w:pPr>
        <w:spacing w:after="0" w:line="240" w:lineRule="auto"/>
        <w:rPr>
          <w:rFonts w:ascii="Times New Roman" w:hAnsi="Times New Roman" w:cs="Times New Roman"/>
          <w:b/>
        </w:rPr>
      </w:pPr>
      <w:r w:rsidRPr="00A3136F">
        <w:rPr>
          <w:rFonts w:ascii="Times New Roman" w:hAnsi="Times New Roman" w:cs="Times New Roman"/>
          <w:b/>
          <w:i/>
        </w:rPr>
        <w:t xml:space="preserve">In re </w:t>
      </w:r>
      <w:proofErr w:type="spellStart"/>
      <w:r w:rsidRPr="00A3136F">
        <w:rPr>
          <w:rFonts w:ascii="Times New Roman" w:hAnsi="Times New Roman" w:cs="Times New Roman"/>
          <w:b/>
          <w:i/>
        </w:rPr>
        <w:t>Alazzeh</w:t>
      </w:r>
      <w:proofErr w:type="spellEnd"/>
      <w:r w:rsidRPr="00A3136F">
        <w:rPr>
          <w:rFonts w:ascii="Times New Roman" w:hAnsi="Times New Roman" w:cs="Times New Roman"/>
          <w:b/>
        </w:rPr>
        <w:t>, 2014 WL 1628131 (9th Cir. BAP April 11, 2014)</w:t>
      </w:r>
    </w:p>
    <w:p w:rsidR="00C53A98" w:rsidRPr="00A3136F" w:rsidRDefault="00C53A98" w:rsidP="00C53A98">
      <w:pPr>
        <w:spacing w:after="0" w:line="240" w:lineRule="auto"/>
        <w:rPr>
          <w:rFonts w:ascii="Times New Roman" w:hAnsi="Times New Roman" w:cs="Times New Roman"/>
        </w:rPr>
      </w:pPr>
    </w:p>
    <w:p w:rsidR="00C53A98" w:rsidRPr="00A3136F" w:rsidRDefault="00C53A98" w:rsidP="00CD669A">
      <w:pPr>
        <w:spacing w:after="0" w:line="240" w:lineRule="auto"/>
        <w:jc w:val="both"/>
        <w:rPr>
          <w:rFonts w:ascii="Times New Roman" w:hAnsi="Times New Roman" w:cs="Times New Roman"/>
        </w:rPr>
      </w:pPr>
      <w:r w:rsidRPr="00A3136F">
        <w:rPr>
          <w:rFonts w:ascii="Times New Roman" w:hAnsi="Times New Roman" w:cs="Times New Roman"/>
        </w:rPr>
        <w:t xml:space="preserve">On April 11, 2014, the United States Bankruptcy Appellate Panel for the Ninth Circuit affirmed the United States Bankruptcy Court for the Central District of California’s order dismissing the creditor’s complaint seeking to deny the debtor’s discharge pursuant to 11. </w:t>
      </w:r>
      <w:proofErr w:type="gramStart"/>
      <w:r w:rsidRPr="00A3136F">
        <w:rPr>
          <w:rFonts w:ascii="Times New Roman" w:hAnsi="Times New Roman" w:cs="Times New Roman"/>
        </w:rPr>
        <w:t>U.S.C. § 727.</w:t>
      </w:r>
      <w:proofErr w:type="gramEnd"/>
    </w:p>
    <w:p w:rsidR="00C53A98" w:rsidRPr="00A3136F" w:rsidRDefault="00C53A98" w:rsidP="00C53A98">
      <w:pPr>
        <w:spacing w:after="0" w:line="240" w:lineRule="auto"/>
        <w:rPr>
          <w:rFonts w:ascii="Times New Roman" w:hAnsi="Times New Roman" w:cs="Times New Roman"/>
        </w:rPr>
      </w:pPr>
    </w:p>
    <w:p w:rsidR="00C53A98" w:rsidRPr="00A3136F" w:rsidRDefault="00C53A98" w:rsidP="00C53A98">
      <w:pPr>
        <w:spacing w:after="0" w:line="240" w:lineRule="auto"/>
        <w:rPr>
          <w:rFonts w:ascii="Times New Roman" w:hAnsi="Times New Roman" w:cs="Times New Roman"/>
        </w:rPr>
      </w:pPr>
      <w:r w:rsidRPr="00A3136F">
        <w:rPr>
          <w:rFonts w:ascii="Times New Roman" w:hAnsi="Times New Roman" w:cs="Times New Roman"/>
        </w:rPr>
        <w:t>Notable Points to Bankruptcy Practitioner:</w:t>
      </w:r>
    </w:p>
    <w:p w:rsidR="00C53A98" w:rsidRPr="00A3136F" w:rsidRDefault="00C53A98" w:rsidP="00C53A98">
      <w:pPr>
        <w:spacing w:after="0" w:line="240" w:lineRule="auto"/>
        <w:rPr>
          <w:rFonts w:ascii="Times New Roman" w:hAnsi="Times New Roman" w:cs="Times New Roman"/>
        </w:rPr>
      </w:pPr>
    </w:p>
    <w:p w:rsidR="00C53A98" w:rsidRPr="00A3136F" w:rsidRDefault="00C53A98" w:rsidP="00CD669A">
      <w:pPr>
        <w:spacing w:after="0" w:line="240" w:lineRule="auto"/>
        <w:jc w:val="both"/>
        <w:rPr>
          <w:rFonts w:ascii="Times New Roman" w:hAnsi="Times New Roman" w:cs="Times New Roman"/>
        </w:rPr>
      </w:pPr>
      <w:r w:rsidRPr="00A3136F">
        <w:rPr>
          <w:rFonts w:ascii="Times New Roman" w:hAnsi="Times New Roman" w:cs="Times New Roman"/>
        </w:rPr>
        <w:t>The chapter 7 debtor agreed to extend the time for the creditor to file an adversary proceeding seeking to deny debtor’s discharge pursuant to § 727. The creditor filed the adversary within the agreed time; however, after a year of unsuccessful mediation and substantial discovery, the debtor filed a motion for summary judgment seeking to dismiss the adversary</w:t>
      </w:r>
      <w:r w:rsidR="00CD669A" w:rsidRPr="00A3136F">
        <w:rPr>
          <w:rFonts w:ascii="Times New Roman" w:hAnsi="Times New Roman" w:cs="Times New Roman"/>
        </w:rPr>
        <w:t xml:space="preserve"> because it was filed untimely.</w:t>
      </w:r>
      <w:r w:rsidRPr="00A3136F">
        <w:rPr>
          <w:rFonts w:ascii="Times New Roman" w:hAnsi="Times New Roman" w:cs="Times New Roman"/>
        </w:rPr>
        <w:t xml:space="preserve"> The Court held that the creditor could not rely on the informal agreement to extend the complaint deadline because any such extension is dependent on the Bankruptcy Court granting a motion filed timely and demonstrating cause for such extension.</w:t>
      </w:r>
    </w:p>
    <w:p w:rsidR="00CD669A" w:rsidRPr="00A3136F" w:rsidRDefault="00CD669A" w:rsidP="00C53A98">
      <w:pPr>
        <w:spacing w:after="0" w:line="240" w:lineRule="auto"/>
        <w:rPr>
          <w:rFonts w:ascii="Times New Roman" w:hAnsi="Times New Roman" w:cs="Times New Roman"/>
        </w:rPr>
      </w:pPr>
    </w:p>
    <w:p w:rsidR="00EA0195" w:rsidRPr="00A3136F" w:rsidRDefault="00EA0195" w:rsidP="00C53A98">
      <w:pPr>
        <w:spacing w:after="0" w:line="240" w:lineRule="auto"/>
        <w:rPr>
          <w:rFonts w:ascii="Times New Roman" w:hAnsi="Times New Roman" w:cs="Times New Roman"/>
          <w:i/>
        </w:rPr>
      </w:pPr>
      <w:r w:rsidRPr="00A3136F">
        <w:rPr>
          <w:rFonts w:ascii="Times New Roman" w:hAnsi="Times New Roman" w:cs="Times New Roman"/>
          <w:i/>
        </w:rPr>
        <w:t>Submitted by:</w:t>
      </w:r>
    </w:p>
    <w:p w:rsidR="00EA0195" w:rsidRPr="00A3136F" w:rsidRDefault="00EA0195" w:rsidP="00C53A98">
      <w:pPr>
        <w:spacing w:after="0" w:line="240" w:lineRule="auto"/>
        <w:rPr>
          <w:rFonts w:ascii="Times New Roman" w:hAnsi="Times New Roman" w:cs="Times New Roman"/>
        </w:rPr>
      </w:pPr>
      <w:r w:rsidRPr="00A3136F">
        <w:rPr>
          <w:rFonts w:ascii="Times New Roman" w:hAnsi="Times New Roman" w:cs="Times New Roman"/>
          <w:b/>
        </w:rPr>
        <w:t>John Smith</w:t>
      </w:r>
      <w:r w:rsidRPr="00A3136F">
        <w:rPr>
          <w:rFonts w:ascii="Times New Roman" w:hAnsi="Times New Roman" w:cs="Times New Roman"/>
        </w:rPr>
        <w:t xml:space="preserve"> </w:t>
      </w:r>
      <w:r w:rsidRPr="00A3136F">
        <w:rPr>
          <w:rFonts w:ascii="Times New Roman" w:hAnsi="Times New Roman" w:cs="Times New Roman"/>
        </w:rPr>
        <w:br/>
      </w:r>
      <w:proofErr w:type="spellStart"/>
      <w:r w:rsidRPr="00A3136F">
        <w:rPr>
          <w:rFonts w:ascii="Times New Roman" w:hAnsi="Times New Roman" w:cs="Times New Roman"/>
        </w:rPr>
        <w:t>Smith</w:t>
      </w:r>
      <w:proofErr w:type="spellEnd"/>
      <w:r w:rsidRPr="00A3136F">
        <w:rPr>
          <w:rFonts w:ascii="Times New Roman" w:hAnsi="Times New Roman" w:cs="Times New Roman"/>
        </w:rPr>
        <w:t xml:space="preserve"> &amp; Smith, PLLC </w:t>
      </w:r>
      <w:r w:rsidRPr="00A3136F">
        <w:rPr>
          <w:rFonts w:ascii="Times New Roman" w:hAnsi="Times New Roman" w:cs="Times New Roman"/>
        </w:rPr>
        <w:br/>
        <w:t xml:space="preserve">6720 E. Camino Principal, Ste. 100 </w:t>
      </w:r>
      <w:r w:rsidRPr="00A3136F">
        <w:rPr>
          <w:rFonts w:ascii="Times New Roman" w:hAnsi="Times New Roman" w:cs="Times New Roman"/>
        </w:rPr>
        <w:br/>
        <w:t xml:space="preserve">Tucson, Arizona 85715 </w:t>
      </w:r>
      <w:r w:rsidRPr="00A3136F">
        <w:rPr>
          <w:rFonts w:ascii="Times New Roman" w:hAnsi="Times New Roman" w:cs="Times New Roman"/>
        </w:rPr>
        <w:br/>
        <w:t xml:space="preserve">Direct: (520) 722-1605 </w:t>
      </w:r>
      <w:r w:rsidRPr="00A3136F">
        <w:rPr>
          <w:rFonts w:ascii="Times New Roman" w:hAnsi="Times New Roman" w:cs="Times New Roman"/>
        </w:rPr>
        <w:br/>
        <w:t xml:space="preserve">Cell:  (520) 360-5848 </w:t>
      </w:r>
      <w:r w:rsidRPr="00A3136F">
        <w:rPr>
          <w:rFonts w:ascii="Times New Roman" w:hAnsi="Times New Roman" w:cs="Times New Roman"/>
        </w:rPr>
        <w:br/>
        <w:t xml:space="preserve">Fax:  (520) 722-9096 </w:t>
      </w:r>
      <w:r w:rsidRPr="00A3136F">
        <w:rPr>
          <w:rFonts w:ascii="Times New Roman" w:hAnsi="Times New Roman" w:cs="Times New Roman"/>
        </w:rPr>
        <w:br/>
      </w:r>
      <w:hyperlink r:id="rId14" w:tgtFrame="_blank" w:history="1">
        <w:r w:rsidRPr="00A3136F">
          <w:rPr>
            <w:rStyle w:val="Hyperlink"/>
            <w:rFonts w:ascii="Times New Roman" w:hAnsi="Times New Roman"/>
          </w:rPr>
          <w:t>john@smithandsmithpllc.com</w:t>
        </w:r>
      </w:hyperlink>
    </w:p>
    <w:p w:rsidR="00C53A98" w:rsidRPr="00A3136F" w:rsidRDefault="00C53A98" w:rsidP="00187CA9">
      <w:pPr>
        <w:spacing w:after="0" w:line="240" w:lineRule="auto"/>
        <w:rPr>
          <w:rFonts w:ascii="Times New Roman" w:hAnsi="Times New Roman" w:cs="Times New Roman"/>
          <w:b/>
          <w:u w:val="single"/>
        </w:rPr>
      </w:pPr>
    </w:p>
    <w:p w:rsidR="00CD669A" w:rsidRPr="00A3136F" w:rsidRDefault="00CD669A" w:rsidP="00187CA9">
      <w:pPr>
        <w:spacing w:after="0" w:line="240" w:lineRule="auto"/>
        <w:rPr>
          <w:rFonts w:ascii="Times New Roman" w:hAnsi="Times New Roman" w:cs="Times New Roman"/>
          <w:b/>
          <w:u w:val="single"/>
        </w:rPr>
      </w:pPr>
    </w:p>
    <w:p w:rsidR="001671FA" w:rsidRPr="00A3136F" w:rsidRDefault="00F30537" w:rsidP="00187CA9">
      <w:pPr>
        <w:spacing w:after="0" w:line="240" w:lineRule="auto"/>
        <w:rPr>
          <w:rFonts w:ascii="Times New Roman" w:hAnsi="Times New Roman" w:cs="Times New Roman"/>
          <w:b/>
          <w:u w:val="single"/>
        </w:rPr>
      </w:pPr>
      <w:r w:rsidRPr="00A3136F">
        <w:rPr>
          <w:rFonts w:ascii="Times New Roman" w:hAnsi="Times New Roman" w:cs="Times New Roman"/>
          <w:b/>
          <w:u w:val="single"/>
        </w:rPr>
        <w:t xml:space="preserve">Eleventh </w:t>
      </w:r>
      <w:r w:rsidR="001671FA" w:rsidRPr="00A3136F">
        <w:rPr>
          <w:rFonts w:ascii="Times New Roman" w:hAnsi="Times New Roman" w:cs="Times New Roman"/>
          <w:b/>
          <w:u w:val="single"/>
        </w:rPr>
        <w:t>Circuit</w:t>
      </w:r>
    </w:p>
    <w:p w:rsidR="00384F70" w:rsidRPr="00A3136F" w:rsidRDefault="00384F70" w:rsidP="00384F70">
      <w:pPr>
        <w:spacing w:after="0" w:line="240" w:lineRule="auto"/>
        <w:rPr>
          <w:rFonts w:ascii="Times New Roman" w:hAnsi="Times New Roman" w:cs="Times New Roman"/>
          <w:b/>
          <w:i/>
        </w:rPr>
      </w:pPr>
    </w:p>
    <w:p w:rsidR="00384F70" w:rsidRPr="00A3136F" w:rsidRDefault="00384F70" w:rsidP="00384F70">
      <w:pPr>
        <w:spacing w:after="0" w:line="240" w:lineRule="auto"/>
        <w:rPr>
          <w:rFonts w:ascii="Times New Roman" w:hAnsi="Times New Roman" w:cs="Times New Roman"/>
          <w:b/>
        </w:rPr>
      </w:pPr>
      <w:r w:rsidRPr="00A3136F">
        <w:rPr>
          <w:rFonts w:ascii="Times New Roman" w:hAnsi="Times New Roman" w:cs="Times New Roman"/>
          <w:b/>
          <w:i/>
        </w:rPr>
        <w:t>Fernandez v. Havana Gardens, LLC</w:t>
      </w:r>
      <w:r w:rsidRPr="00A3136F">
        <w:rPr>
          <w:rFonts w:ascii="Times New Roman" w:hAnsi="Times New Roman" w:cs="Times New Roman"/>
          <w:b/>
        </w:rPr>
        <w:t>,</w:t>
      </w:r>
      <w:r w:rsidRPr="00A3136F">
        <w:rPr>
          <w:rFonts w:ascii="Times New Roman" w:hAnsi="Times New Roman" w:cs="Times New Roman"/>
          <w:i/>
        </w:rPr>
        <w:t xml:space="preserve"> </w:t>
      </w:r>
      <w:r w:rsidRPr="00A3136F">
        <w:rPr>
          <w:rFonts w:ascii="Times New Roman" w:hAnsi="Times New Roman" w:cs="Times New Roman"/>
          <w:b/>
        </w:rPr>
        <w:t>2014 WL 1329253</w:t>
      </w:r>
      <w:r w:rsidRPr="00A3136F">
        <w:rPr>
          <w:rFonts w:ascii="Times New Roman" w:hAnsi="Times New Roman" w:cs="Times New Roman"/>
          <w:i/>
        </w:rPr>
        <w:t xml:space="preserve"> </w:t>
      </w:r>
      <w:r w:rsidRPr="00A3136F">
        <w:rPr>
          <w:rFonts w:ascii="Times New Roman" w:hAnsi="Times New Roman" w:cs="Times New Roman"/>
          <w:b/>
        </w:rPr>
        <w:t>(11</w:t>
      </w:r>
      <w:r w:rsidRPr="00A3136F">
        <w:rPr>
          <w:rFonts w:ascii="Times New Roman" w:hAnsi="Times New Roman" w:cs="Times New Roman"/>
          <w:b/>
          <w:vertAlign w:val="superscript"/>
        </w:rPr>
        <w:t>th</w:t>
      </w:r>
      <w:r w:rsidRPr="00A3136F">
        <w:rPr>
          <w:rFonts w:ascii="Times New Roman" w:hAnsi="Times New Roman" w:cs="Times New Roman"/>
          <w:b/>
        </w:rPr>
        <w:t xml:space="preserve"> Cir. April 4, 2014)  </w:t>
      </w:r>
    </w:p>
    <w:p w:rsidR="00384F70" w:rsidRPr="00A3136F" w:rsidRDefault="00384F70" w:rsidP="00384F70">
      <w:pPr>
        <w:spacing w:after="0" w:line="240" w:lineRule="auto"/>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rPr>
      </w:pPr>
      <w:r w:rsidRPr="00A3136F">
        <w:rPr>
          <w:rFonts w:ascii="Times New Roman" w:hAnsi="Times New Roman" w:cs="Times New Roman"/>
        </w:rPr>
        <w:t>Prior to filing bankruptcy, the Chapter 7 debtor and another individual formed a LLC to develop a parcel of real estat</w:t>
      </w:r>
      <w:r w:rsidR="00CD669A" w:rsidRPr="00A3136F">
        <w:rPr>
          <w:rFonts w:ascii="Times New Roman" w:hAnsi="Times New Roman" w:cs="Times New Roman"/>
        </w:rPr>
        <w:t xml:space="preserve">e into a condominium building. </w:t>
      </w:r>
      <w:r w:rsidRPr="00A3136F">
        <w:rPr>
          <w:rFonts w:ascii="Times New Roman" w:hAnsi="Times New Roman" w:cs="Times New Roman"/>
        </w:rPr>
        <w:t xml:space="preserve">After the debtor filed Chapter 7, the LLC sued for a money judgment and a determination that the judgment was </w:t>
      </w:r>
      <w:proofErr w:type="spellStart"/>
      <w:r w:rsidRPr="00A3136F">
        <w:rPr>
          <w:rFonts w:ascii="Times New Roman" w:hAnsi="Times New Roman" w:cs="Times New Roman"/>
        </w:rPr>
        <w:t>nondischargeable</w:t>
      </w:r>
      <w:proofErr w:type="spellEnd"/>
      <w:r w:rsidRPr="00A3136F">
        <w:rPr>
          <w:rFonts w:ascii="Times New Roman" w:hAnsi="Times New Roman" w:cs="Times New Roman"/>
        </w:rPr>
        <w:t xml:space="preserve">. </w:t>
      </w:r>
    </w:p>
    <w:p w:rsidR="00CD669A" w:rsidRPr="00A3136F" w:rsidRDefault="00CD669A" w:rsidP="00CD669A">
      <w:pPr>
        <w:spacing w:after="0" w:line="240" w:lineRule="auto"/>
        <w:jc w:val="both"/>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rPr>
      </w:pPr>
      <w:r w:rsidRPr="00A3136F">
        <w:rPr>
          <w:rFonts w:ascii="Times New Roman" w:hAnsi="Times New Roman" w:cs="Times New Roman"/>
        </w:rPr>
        <w:t>The Bankruptcy Court awarded the LLC a money judgment for all personal expenses that the debtor p</w:t>
      </w:r>
      <w:r w:rsidR="00CD669A" w:rsidRPr="00A3136F">
        <w:rPr>
          <w:rFonts w:ascii="Times New Roman" w:hAnsi="Times New Roman" w:cs="Times New Roman"/>
        </w:rPr>
        <w:t xml:space="preserve">aid for using the LLC’s funds. </w:t>
      </w:r>
      <w:r w:rsidRPr="00A3136F">
        <w:rPr>
          <w:rFonts w:ascii="Times New Roman" w:hAnsi="Times New Roman" w:cs="Times New Roman"/>
        </w:rPr>
        <w:t xml:space="preserve">However, the Bankruptcy Court held that only a portion of the </w:t>
      </w:r>
      <w:r w:rsidR="00CD669A" w:rsidRPr="00A3136F">
        <w:rPr>
          <w:rFonts w:ascii="Times New Roman" w:hAnsi="Times New Roman" w:cs="Times New Roman"/>
        </w:rPr>
        <w:t xml:space="preserve">judgment was </w:t>
      </w:r>
      <w:proofErr w:type="spellStart"/>
      <w:r w:rsidR="00CD669A" w:rsidRPr="00A3136F">
        <w:rPr>
          <w:rFonts w:ascii="Times New Roman" w:hAnsi="Times New Roman" w:cs="Times New Roman"/>
        </w:rPr>
        <w:t>nondischargeable</w:t>
      </w:r>
      <w:proofErr w:type="spellEnd"/>
      <w:r w:rsidR="00CD669A" w:rsidRPr="00A3136F">
        <w:rPr>
          <w:rFonts w:ascii="Times New Roman" w:hAnsi="Times New Roman" w:cs="Times New Roman"/>
        </w:rPr>
        <w:t xml:space="preserve">. </w:t>
      </w:r>
      <w:r w:rsidRPr="00A3136F">
        <w:rPr>
          <w:rFonts w:ascii="Times New Roman" w:hAnsi="Times New Roman" w:cs="Times New Roman"/>
        </w:rPr>
        <w:t xml:space="preserve">The Court reasoned that the debtor paid for some personal expenses with funds which belonged to the LLC, but made no effort to </w:t>
      </w:r>
      <w:r w:rsidR="00CD669A" w:rsidRPr="00A3136F">
        <w:rPr>
          <w:rFonts w:ascii="Times New Roman" w:hAnsi="Times New Roman" w:cs="Times New Roman"/>
        </w:rPr>
        <w:t xml:space="preserve">hide many of the expenditures. </w:t>
      </w:r>
      <w:r w:rsidRPr="00A3136F">
        <w:rPr>
          <w:rFonts w:ascii="Times New Roman" w:hAnsi="Times New Roman" w:cs="Times New Roman"/>
        </w:rPr>
        <w:t>Because the debtor, as a co-member of the LLC, was in lawful possession of the LLC’s money, the Court ruled that the funds were not ob</w:t>
      </w:r>
      <w:r w:rsidR="00CD669A" w:rsidRPr="00A3136F">
        <w:rPr>
          <w:rFonts w:ascii="Times New Roman" w:hAnsi="Times New Roman" w:cs="Times New Roman"/>
        </w:rPr>
        <w:t xml:space="preserve">tained with fraudulent intent. </w:t>
      </w:r>
      <w:r w:rsidRPr="00A3136F">
        <w:rPr>
          <w:rFonts w:ascii="Times New Roman" w:hAnsi="Times New Roman" w:cs="Times New Roman"/>
        </w:rPr>
        <w:t>The Court also ruled that the debtor did not act with fraudulent intent or deceit because he made no efforts to conceal the personal n</w:t>
      </w:r>
      <w:r w:rsidR="00CD669A" w:rsidRPr="00A3136F">
        <w:rPr>
          <w:rFonts w:ascii="Times New Roman" w:hAnsi="Times New Roman" w:cs="Times New Roman"/>
        </w:rPr>
        <w:t xml:space="preserve">ature of many of the expenses. </w:t>
      </w:r>
      <w:r w:rsidRPr="00A3136F">
        <w:rPr>
          <w:rFonts w:ascii="Times New Roman" w:hAnsi="Times New Roman" w:cs="Times New Roman"/>
        </w:rPr>
        <w:t>Thus, that portion of the judgm</w:t>
      </w:r>
      <w:r w:rsidR="00CD669A" w:rsidRPr="00A3136F">
        <w:rPr>
          <w:rFonts w:ascii="Times New Roman" w:hAnsi="Times New Roman" w:cs="Times New Roman"/>
        </w:rPr>
        <w:t>ent was dischargeable.</w:t>
      </w:r>
      <w:r w:rsidRPr="00A3136F">
        <w:rPr>
          <w:rFonts w:ascii="Times New Roman" w:hAnsi="Times New Roman" w:cs="Times New Roman"/>
        </w:rPr>
        <w:t xml:space="preserve"> However, because the Court found the debtor’s testimony untruthful as to other expenses, it ruled that the debtor’s use of rent checks that were not deposited in the </w:t>
      </w:r>
      <w:r w:rsidRPr="00A3136F">
        <w:rPr>
          <w:rFonts w:ascii="Times New Roman" w:hAnsi="Times New Roman" w:cs="Times New Roman"/>
        </w:rPr>
        <w:lastRenderedPageBreak/>
        <w:t xml:space="preserve">LLC’s account and unexplained credit card charges were </w:t>
      </w:r>
      <w:proofErr w:type="spellStart"/>
      <w:r w:rsidRPr="00A3136F">
        <w:rPr>
          <w:rFonts w:ascii="Times New Roman" w:hAnsi="Times New Roman" w:cs="Times New Roman"/>
        </w:rPr>
        <w:t>nondischarg</w:t>
      </w:r>
      <w:r w:rsidR="00CD669A" w:rsidRPr="00A3136F">
        <w:rPr>
          <w:rFonts w:ascii="Times New Roman" w:hAnsi="Times New Roman" w:cs="Times New Roman"/>
        </w:rPr>
        <w:t>eable</w:t>
      </w:r>
      <w:proofErr w:type="spellEnd"/>
      <w:r w:rsidR="00CD669A" w:rsidRPr="00A3136F">
        <w:rPr>
          <w:rFonts w:ascii="Times New Roman" w:hAnsi="Times New Roman" w:cs="Times New Roman"/>
        </w:rPr>
        <w:t xml:space="preserve"> as embezzled funds. </w:t>
      </w:r>
      <w:r w:rsidRPr="00A3136F">
        <w:rPr>
          <w:rFonts w:ascii="Times New Roman" w:hAnsi="Times New Roman" w:cs="Times New Roman"/>
        </w:rPr>
        <w:t>The debtor appealed the Bankruptcy Court’s judgment to the United States D</w:t>
      </w:r>
      <w:r w:rsidR="00CD669A" w:rsidRPr="00A3136F">
        <w:rPr>
          <w:rFonts w:ascii="Times New Roman" w:hAnsi="Times New Roman" w:cs="Times New Roman"/>
        </w:rPr>
        <w:t xml:space="preserve">istrict Court, which affirmed. </w:t>
      </w:r>
      <w:r w:rsidRPr="00A3136F">
        <w:rPr>
          <w:rFonts w:ascii="Times New Roman" w:hAnsi="Times New Roman" w:cs="Times New Roman"/>
        </w:rPr>
        <w:t xml:space="preserve">The debtor then appealed the District Court’s ruling to the Eleventh Circuit, which affirmed. </w:t>
      </w:r>
    </w:p>
    <w:p w:rsidR="00384F70" w:rsidRPr="00A3136F" w:rsidRDefault="00384F70" w:rsidP="00CD669A">
      <w:pPr>
        <w:spacing w:after="0" w:line="240" w:lineRule="auto"/>
        <w:jc w:val="both"/>
        <w:rPr>
          <w:rFonts w:ascii="Times New Roman" w:hAnsi="Times New Roman" w:cs="Times New Roman"/>
          <w:i/>
          <w:u w:val="single"/>
        </w:rPr>
      </w:pPr>
    </w:p>
    <w:p w:rsidR="00384F70" w:rsidRPr="00A3136F" w:rsidRDefault="00384F70" w:rsidP="00CD669A">
      <w:pPr>
        <w:spacing w:after="0" w:line="240" w:lineRule="auto"/>
        <w:jc w:val="both"/>
        <w:rPr>
          <w:rFonts w:ascii="Times New Roman" w:hAnsi="Times New Roman" w:cs="Times New Roman"/>
          <w:b/>
        </w:rPr>
      </w:pPr>
      <w:r w:rsidRPr="00A3136F">
        <w:rPr>
          <w:rFonts w:ascii="Times New Roman" w:hAnsi="Times New Roman" w:cs="Times New Roman"/>
          <w:b/>
          <w:i/>
        </w:rPr>
        <w:t xml:space="preserve"> Bank of America, N.A., v. Bello</w:t>
      </w:r>
      <w:r w:rsidRPr="00A3136F">
        <w:rPr>
          <w:rFonts w:ascii="Times New Roman" w:hAnsi="Times New Roman" w:cs="Times New Roman"/>
          <w:b/>
        </w:rPr>
        <w:t>, 2014 WL 1492738 (11</w:t>
      </w:r>
      <w:r w:rsidRPr="00A3136F">
        <w:rPr>
          <w:rFonts w:ascii="Times New Roman" w:hAnsi="Times New Roman" w:cs="Times New Roman"/>
          <w:b/>
          <w:vertAlign w:val="superscript"/>
        </w:rPr>
        <w:t>th</w:t>
      </w:r>
      <w:r w:rsidRPr="00A3136F">
        <w:rPr>
          <w:rFonts w:ascii="Times New Roman" w:hAnsi="Times New Roman" w:cs="Times New Roman"/>
          <w:b/>
        </w:rPr>
        <w:t xml:space="preserve"> Cir. April 17, 2014)</w:t>
      </w:r>
    </w:p>
    <w:p w:rsidR="00384F70" w:rsidRPr="00A3136F" w:rsidRDefault="00384F70" w:rsidP="00CD669A">
      <w:pPr>
        <w:spacing w:after="0" w:line="240" w:lineRule="auto"/>
        <w:jc w:val="both"/>
        <w:rPr>
          <w:rFonts w:ascii="Times New Roman" w:hAnsi="Times New Roman" w:cs="Times New Roman"/>
          <w:b/>
        </w:rPr>
      </w:pPr>
    </w:p>
    <w:p w:rsidR="00384F70" w:rsidRPr="00A3136F" w:rsidRDefault="00384F70" w:rsidP="00CD669A">
      <w:pPr>
        <w:spacing w:after="0" w:line="240" w:lineRule="auto"/>
        <w:jc w:val="both"/>
        <w:rPr>
          <w:rFonts w:ascii="Times New Roman" w:hAnsi="Times New Roman" w:cs="Times New Roman"/>
        </w:rPr>
      </w:pPr>
      <w:r w:rsidRPr="00A3136F">
        <w:rPr>
          <w:rFonts w:ascii="Times New Roman" w:hAnsi="Times New Roman" w:cs="Times New Roman"/>
        </w:rPr>
        <w:t>Bank of America, N.A., appealed from a United States District Court ruling which affirmed the Bankruptcy Court’s order voiding a wholly unsecured second priority lien on the debt</w:t>
      </w:r>
      <w:r w:rsidR="00CD669A" w:rsidRPr="00A3136F">
        <w:rPr>
          <w:rFonts w:ascii="Times New Roman" w:hAnsi="Times New Roman" w:cs="Times New Roman"/>
        </w:rPr>
        <w:t xml:space="preserve">or’s home. </w:t>
      </w:r>
      <w:r w:rsidRPr="00A3136F">
        <w:rPr>
          <w:rFonts w:ascii="Times New Roman" w:hAnsi="Times New Roman" w:cs="Times New Roman"/>
        </w:rPr>
        <w:t>The Circuit Court affirmed based on a recent case in which it concluded that a wholly unsecured junior lien is avoidable under 11 U.S.C. § 506(a) and (d).</w:t>
      </w:r>
    </w:p>
    <w:p w:rsidR="00384F70" w:rsidRPr="00A3136F" w:rsidRDefault="00384F70" w:rsidP="00CD669A">
      <w:pPr>
        <w:spacing w:after="0" w:line="240" w:lineRule="auto"/>
        <w:jc w:val="both"/>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b/>
        </w:rPr>
      </w:pPr>
      <w:proofErr w:type="spellStart"/>
      <w:r w:rsidRPr="00A3136F">
        <w:rPr>
          <w:rFonts w:ascii="Times New Roman" w:hAnsi="Times New Roman" w:cs="Times New Roman"/>
          <w:b/>
          <w:i/>
        </w:rPr>
        <w:t>Summersill</w:t>
      </w:r>
      <w:proofErr w:type="spellEnd"/>
      <w:r w:rsidRPr="00A3136F">
        <w:rPr>
          <w:rFonts w:ascii="Times New Roman" w:hAnsi="Times New Roman" w:cs="Times New Roman"/>
          <w:b/>
          <w:i/>
        </w:rPr>
        <w:t xml:space="preserve"> v. Kelly, Clerk of the Circuit Court of Lake County, Florida, </w:t>
      </w:r>
      <w:r w:rsidRPr="00A3136F">
        <w:rPr>
          <w:rFonts w:ascii="Times New Roman" w:hAnsi="Times New Roman" w:cs="Times New Roman"/>
          <w:b/>
        </w:rPr>
        <w:t>2014 WL 1333206 (M.D. Fla. April 3, 2014)</w:t>
      </w:r>
    </w:p>
    <w:p w:rsidR="00384F70" w:rsidRPr="00A3136F" w:rsidRDefault="00384F70" w:rsidP="00CD669A">
      <w:pPr>
        <w:spacing w:after="0" w:line="240" w:lineRule="auto"/>
        <w:jc w:val="both"/>
        <w:rPr>
          <w:rFonts w:ascii="Times New Roman" w:hAnsi="Times New Roman" w:cs="Times New Roman"/>
          <w:b/>
        </w:rPr>
      </w:pPr>
    </w:p>
    <w:p w:rsidR="00384F70" w:rsidRPr="00A3136F" w:rsidRDefault="00384F70" w:rsidP="00CD669A">
      <w:pPr>
        <w:spacing w:after="0" w:line="240" w:lineRule="auto"/>
        <w:jc w:val="both"/>
        <w:rPr>
          <w:rFonts w:ascii="Times New Roman" w:hAnsi="Times New Roman" w:cs="Times New Roman"/>
        </w:rPr>
      </w:pPr>
      <w:r w:rsidRPr="00A3136F">
        <w:rPr>
          <w:rFonts w:ascii="Times New Roman" w:hAnsi="Times New Roman" w:cs="Times New Roman"/>
        </w:rPr>
        <w:t>Prior to filing Chapter 13 bankruptcy, the debtor filed suit in the United States District Court against her former employer, alleging disability discrimination prohibited by the Americans With Disabilities Act and the Florida Civil Rights Act, and violations of the</w:t>
      </w:r>
      <w:r w:rsidR="00CD669A" w:rsidRPr="00A3136F">
        <w:rPr>
          <w:rFonts w:ascii="Times New Roman" w:hAnsi="Times New Roman" w:cs="Times New Roman"/>
        </w:rPr>
        <w:t xml:space="preserve"> Family and Medical Leave Act. </w:t>
      </w:r>
      <w:r w:rsidRPr="00A3136F">
        <w:rPr>
          <w:rFonts w:ascii="Times New Roman" w:hAnsi="Times New Roman" w:cs="Times New Roman"/>
        </w:rPr>
        <w:t>While the case was pending</w:t>
      </w:r>
      <w:r w:rsidR="00CD669A" w:rsidRPr="00A3136F">
        <w:rPr>
          <w:rFonts w:ascii="Times New Roman" w:hAnsi="Times New Roman" w:cs="Times New Roman"/>
        </w:rPr>
        <w:t xml:space="preserve">, the debtor filed Chapter 13. </w:t>
      </w:r>
      <w:r w:rsidRPr="00A3136F">
        <w:rPr>
          <w:rFonts w:ascii="Times New Roman" w:hAnsi="Times New Roman" w:cs="Times New Roman"/>
        </w:rPr>
        <w:t>The debtor failed to disclose the pending litigation in her S</w:t>
      </w:r>
      <w:r w:rsidR="00CD669A" w:rsidRPr="00A3136F">
        <w:rPr>
          <w:rFonts w:ascii="Times New Roman" w:hAnsi="Times New Roman" w:cs="Times New Roman"/>
        </w:rPr>
        <w:t xml:space="preserve">tatement of Financial Affairs. </w:t>
      </w:r>
      <w:r w:rsidRPr="00A3136F">
        <w:rPr>
          <w:rFonts w:ascii="Times New Roman" w:hAnsi="Times New Roman" w:cs="Times New Roman"/>
        </w:rPr>
        <w:t>The debtor filed an amended Chapte</w:t>
      </w:r>
      <w:r w:rsidR="00CD669A" w:rsidRPr="00A3136F">
        <w:rPr>
          <w:rFonts w:ascii="Times New Roman" w:hAnsi="Times New Roman" w:cs="Times New Roman"/>
        </w:rPr>
        <w:t xml:space="preserve">r 13 plan. </w:t>
      </w:r>
      <w:r w:rsidRPr="00A3136F">
        <w:rPr>
          <w:rFonts w:ascii="Times New Roman" w:hAnsi="Times New Roman" w:cs="Times New Roman"/>
        </w:rPr>
        <w:t>Nevertheless, the Statement of Financial Affairs was not amended to include the case that had been filed by the debtor in the</w:t>
      </w:r>
      <w:r w:rsidR="00CD669A" w:rsidRPr="00A3136F">
        <w:rPr>
          <w:rFonts w:ascii="Times New Roman" w:hAnsi="Times New Roman" w:cs="Times New Roman"/>
        </w:rPr>
        <w:t xml:space="preserve"> United States District Court. </w:t>
      </w:r>
      <w:r w:rsidRPr="00A3136F">
        <w:rPr>
          <w:rFonts w:ascii="Times New Roman" w:hAnsi="Times New Roman" w:cs="Times New Roman"/>
        </w:rPr>
        <w:t>The debtor had never disclosed the case when her amended Chapter 13 plan was confirmed.</w:t>
      </w:r>
      <w:r w:rsidR="00CD669A" w:rsidRPr="00A3136F">
        <w:rPr>
          <w:rFonts w:ascii="Times New Roman" w:hAnsi="Times New Roman" w:cs="Times New Roman"/>
        </w:rPr>
        <w:t xml:space="preserve"> </w:t>
      </w:r>
      <w:r w:rsidRPr="00A3136F">
        <w:rPr>
          <w:rFonts w:ascii="Times New Roman" w:hAnsi="Times New Roman" w:cs="Times New Roman"/>
        </w:rPr>
        <w:t>Eight months later, the debtor was depos</w:t>
      </w:r>
      <w:r w:rsidR="00CD669A" w:rsidRPr="00A3136F">
        <w:rPr>
          <w:rFonts w:ascii="Times New Roman" w:hAnsi="Times New Roman" w:cs="Times New Roman"/>
        </w:rPr>
        <w:t xml:space="preserve">ed in the District Court case. </w:t>
      </w:r>
      <w:r w:rsidRPr="00A3136F">
        <w:rPr>
          <w:rFonts w:ascii="Times New Roman" w:hAnsi="Times New Roman" w:cs="Times New Roman"/>
        </w:rPr>
        <w:t>During the deposition, she was asked whether she had disclosed the pending case in her S</w:t>
      </w:r>
      <w:r w:rsidR="00CD669A" w:rsidRPr="00A3136F">
        <w:rPr>
          <w:rFonts w:ascii="Times New Roman" w:hAnsi="Times New Roman" w:cs="Times New Roman"/>
        </w:rPr>
        <w:t xml:space="preserve">tatement of Financial Affairs. </w:t>
      </w:r>
      <w:r w:rsidRPr="00A3136F">
        <w:rPr>
          <w:rFonts w:ascii="Times New Roman" w:hAnsi="Times New Roman" w:cs="Times New Roman"/>
        </w:rPr>
        <w:t>More than nine months after the amended Chapter 13 plan was confirmed, the debtor filed an Amended Statement of Financial Affairs, which, for the f</w:t>
      </w:r>
      <w:r w:rsidR="00CD669A" w:rsidRPr="00A3136F">
        <w:rPr>
          <w:rFonts w:ascii="Times New Roman" w:hAnsi="Times New Roman" w:cs="Times New Roman"/>
        </w:rPr>
        <w:t xml:space="preserve">irst time, disclosed the case. </w:t>
      </w:r>
      <w:r w:rsidRPr="00A3136F">
        <w:rPr>
          <w:rFonts w:ascii="Times New Roman" w:hAnsi="Times New Roman" w:cs="Times New Roman"/>
        </w:rPr>
        <w:t>The District Court subsequently entered summary judgment against the debtor on t</w:t>
      </w:r>
      <w:r w:rsidR="00CD669A" w:rsidRPr="00A3136F">
        <w:rPr>
          <w:rFonts w:ascii="Times New Roman" w:hAnsi="Times New Roman" w:cs="Times New Roman"/>
        </w:rPr>
        <w:t xml:space="preserve">he basis of judicial estoppel. </w:t>
      </w:r>
      <w:r w:rsidRPr="00A3136F">
        <w:rPr>
          <w:rFonts w:ascii="Times New Roman" w:hAnsi="Times New Roman" w:cs="Times New Roman"/>
        </w:rPr>
        <w:t xml:space="preserve">In doing so, the Court ruled that the debtor’s claim that her bankruptcy attorney knew of the District Court case but failed to disclose it did not preclude the application of the judicial estoppel doctrine.  </w:t>
      </w:r>
    </w:p>
    <w:p w:rsidR="00384F70" w:rsidRPr="00A3136F" w:rsidRDefault="00384F70" w:rsidP="00CD669A">
      <w:pPr>
        <w:spacing w:after="0" w:line="240" w:lineRule="auto"/>
        <w:jc w:val="both"/>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b/>
        </w:rPr>
      </w:pPr>
      <w:proofErr w:type="gramStart"/>
      <w:r w:rsidRPr="00A3136F">
        <w:rPr>
          <w:rFonts w:ascii="Times New Roman" w:hAnsi="Times New Roman" w:cs="Times New Roman"/>
          <w:b/>
          <w:i/>
        </w:rPr>
        <w:t xml:space="preserve">In re James Newell Charles, </w:t>
      </w:r>
      <w:r w:rsidRPr="00A3136F">
        <w:rPr>
          <w:rFonts w:ascii="Times New Roman" w:hAnsi="Times New Roman" w:cs="Times New Roman"/>
          <w:b/>
        </w:rPr>
        <w:t>2014 WL 1466449 (</w:t>
      </w:r>
      <w:proofErr w:type="spellStart"/>
      <w:r w:rsidRPr="00A3136F">
        <w:rPr>
          <w:rFonts w:ascii="Times New Roman" w:hAnsi="Times New Roman" w:cs="Times New Roman"/>
          <w:b/>
        </w:rPr>
        <w:t>Bkrtcy</w:t>
      </w:r>
      <w:proofErr w:type="spellEnd"/>
      <w:r w:rsidRPr="00A3136F">
        <w:rPr>
          <w:rFonts w:ascii="Times New Roman" w:hAnsi="Times New Roman" w:cs="Times New Roman"/>
          <w:b/>
        </w:rPr>
        <w:t>.</w:t>
      </w:r>
      <w:proofErr w:type="gramEnd"/>
      <w:r w:rsidRPr="00A3136F">
        <w:rPr>
          <w:rFonts w:ascii="Times New Roman" w:hAnsi="Times New Roman" w:cs="Times New Roman"/>
          <w:b/>
        </w:rPr>
        <w:t xml:space="preserve"> M.D. Fla. April 15, 2014)</w:t>
      </w:r>
    </w:p>
    <w:p w:rsidR="00384F70" w:rsidRPr="00A3136F" w:rsidRDefault="00384F70" w:rsidP="00CD669A">
      <w:pPr>
        <w:spacing w:after="0" w:line="240" w:lineRule="auto"/>
        <w:jc w:val="both"/>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rPr>
      </w:pPr>
      <w:r w:rsidRPr="00A3136F">
        <w:rPr>
          <w:rFonts w:ascii="Times New Roman" w:hAnsi="Times New Roman" w:cs="Times New Roman"/>
        </w:rPr>
        <w:t>Prior to filing Chapter 7 bankruptcy, the debtor, who was a lawyer, represented an individual in a civil rights lawsuit against agents of the State of Florida who allegedly were responsible for a so-called botched sting operation. In July, 2011, a Florida state court held the lawyer and his liable for attorneys’ fees and c</w:t>
      </w:r>
      <w:r w:rsidR="00CD669A" w:rsidRPr="00A3136F">
        <w:rPr>
          <w:rFonts w:ascii="Times New Roman" w:hAnsi="Times New Roman" w:cs="Times New Roman"/>
        </w:rPr>
        <w:t xml:space="preserve">osts in excess of $407,000.00. </w:t>
      </w:r>
      <w:r w:rsidRPr="00A3136F">
        <w:rPr>
          <w:rFonts w:ascii="Times New Roman" w:hAnsi="Times New Roman" w:cs="Times New Roman"/>
        </w:rPr>
        <w:t>Approximately three months late</w:t>
      </w:r>
      <w:r w:rsidR="00CD669A" w:rsidRPr="00A3136F">
        <w:rPr>
          <w:rFonts w:ascii="Times New Roman" w:hAnsi="Times New Roman" w:cs="Times New Roman"/>
        </w:rPr>
        <w:t xml:space="preserve">r, the lawyer filed Chapter 7. </w:t>
      </w:r>
      <w:r w:rsidRPr="00A3136F">
        <w:rPr>
          <w:rFonts w:ascii="Times New Roman" w:hAnsi="Times New Roman" w:cs="Times New Roman"/>
        </w:rPr>
        <w:t>The debtor filed an appeal of the judgment that had been entered against him, and in March, 2013, the Flo</w:t>
      </w:r>
      <w:r w:rsidR="00CD669A" w:rsidRPr="00A3136F">
        <w:rPr>
          <w:rFonts w:ascii="Times New Roman" w:hAnsi="Times New Roman" w:cs="Times New Roman"/>
        </w:rPr>
        <w:t xml:space="preserve">rida appellate court affirmed. </w:t>
      </w:r>
      <w:r w:rsidRPr="00A3136F">
        <w:rPr>
          <w:rFonts w:ascii="Times New Roman" w:hAnsi="Times New Roman" w:cs="Times New Roman"/>
        </w:rPr>
        <w:t xml:space="preserve">The appellate court also granted and remanded the case to the lower court to determine the amount of attorneys’ fees to </w:t>
      </w:r>
      <w:r w:rsidR="00CD669A" w:rsidRPr="00A3136F">
        <w:rPr>
          <w:rFonts w:ascii="Times New Roman" w:hAnsi="Times New Roman" w:cs="Times New Roman"/>
        </w:rPr>
        <w:t xml:space="preserve">be awarded against the debtor. </w:t>
      </w:r>
      <w:r w:rsidRPr="00A3136F">
        <w:rPr>
          <w:rFonts w:ascii="Times New Roman" w:hAnsi="Times New Roman" w:cs="Times New Roman"/>
        </w:rPr>
        <w:t>The parties in whose favor the sanctions were awarded filed a motion in the bankruptcy case seeking an order determining that any sanctions awarded against the debtor would classified as post-petition</w:t>
      </w:r>
      <w:r w:rsidR="00CD669A" w:rsidRPr="00A3136F">
        <w:rPr>
          <w:rFonts w:ascii="Times New Roman" w:hAnsi="Times New Roman" w:cs="Times New Roman"/>
        </w:rPr>
        <w:t xml:space="preserve"> and therefore not discharged. </w:t>
      </w:r>
      <w:r w:rsidRPr="00A3136F">
        <w:rPr>
          <w:rFonts w:ascii="Times New Roman" w:hAnsi="Times New Roman" w:cs="Times New Roman"/>
        </w:rPr>
        <w:t>The Bankruptcy Court held that the prospective sanctions were not a pre-petition claim because the sanctions were based on the frivolous nature of arguments raised in the appeal, which had been filed following the commencement of the debtor’s Chapter 7 case.</w:t>
      </w:r>
    </w:p>
    <w:p w:rsidR="00384F70" w:rsidRPr="00A3136F" w:rsidRDefault="00384F70" w:rsidP="00CD669A">
      <w:pPr>
        <w:spacing w:after="0" w:line="240" w:lineRule="auto"/>
        <w:jc w:val="both"/>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b/>
        </w:rPr>
      </w:pPr>
      <w:r w:rsidRPr="00A3136F">
        <w:rPr>
          <w:rFonts w:ascii="Times New Roman" w:hAnsi="Times New Roman" w:cs="Times New Roman"/>
          <w:b/>
          <w:i/>
        </w:rPr>
        <w:t xml:space="preserve">In re Dean Charles Marcum, </w:t>
      </w:r>
      <w:r w:rsidR="00F43782" w:rsidRPr="00A3136F">
        <w:rPr>
          <w:rFonts w:ascii="Times New Roman" w:hAnsi="Times New Roman" w:cs="Times New Roman"/>
          <w:b/>
        </w:rPr>
        <w:t xml:space="preserve">508 B.R. 499 </w:t>
      </w:r>
      <w:r w:rsidRPr="00A3136F">
        <w:rPr>
          <w:rFonts w:ascii="Times New Roman" w:hAnsi="Times New Roman" w:cs="Times New Roman"/>
          <w:b/>
        </w:rPr>
        <w:t>(</w:t>
      </w:r>
      <w:proofErr w:type="spellStart"/>
      <w:r w:rsidRPr="00A3136F">
        <w:rPr>
          <w:rFonts w:ascii="Times New Roman" w:hAnsi="Times New Roman" w:cs="Times New Roman"/>
          <w:b/>
        </w:rPr>
        <w:t>Bkrtcy</w:t>
      </w:r>
      <w:proofErr w:type="spellEnd"/>
      <w:r w:rsidRPr="00A3136F">
        <w:rPr>
          <w:rFonts w:ascii="Times New Roman" w:hAnsi="Times New Roman" w:cs="Times New Roman"/>
          <w:b/>
        </w:rPr>
        <w:t>, M.D. Fla. April 17, 2014)</w:t>
      </w:r>
    </w:p>
    <w:p w:rsidR="00384F70" w:rsidRPr="00A3136F" w:rsidRDefault="00384F70" w:rsidP="00CD669A">
      <w:pPr>
        <w:spacing w:after="0" w:line="240" w:lineRule="auto"/>
        <w:jc w:val="both"/>
        <w:rPr>
          <w:rFonts w:ascii="Times New Roman" w:hAnsi="Times New Roman" w:cs="Times New Roman"/>
          <w:b/>
        </w:rPr>
      </w:pPr>
    </w:p>
    <w:p w:rsidR="00384F70" w:rsidRPr="00A3136F" w:rsidRDefault="00384F70" w:rsidP="00CD669A">
      <w:pPr>
        <w:spacing w:after="0" w:line="240" w:lineRule="auto"/>
        <w:jc w:val="both"/>
        <w:rPr>
          <w:rFonts w:ascii="Times New Roman" w:hAnsi="Times New Roman" w:cs="Times New Roman"/>
        </w:rPr>
      </w:pPr>
      <w:r w:rsidRPr="00A3136F">
        <w:rPr>
          <w:rFonts w:ascii="Times New Roman" w:hAnsi="Times New Roman" w:cs="Times New Roman"/>
        </w:rPr>
        <w:t>Prior to filing Chapter 13 bankruptcy, the debtor borrowed $9,400.00 from an individual lender to pay delinquent real estate ta</w:t>
      </w:r>
      <w:r w:rsidR="00CD669A" w:rsidRPr="00A3136F">
        <w:rPr>
          <w:rFonts w:ascii="Times New Roman" w:hAnsi="Times New Roman" w:cs="Times New Roman"/>
        </w:rPr>
        <w:t xml:space="preserve">xes on the debtor’s homestead. </w:t>
      </w:r>
      <w:r w:rsidRPr="00A3136F">
        <w:rPr>
          <w:rFonts w:ascii="Times New Roman" w:hAnsi="Times New Roman" w:cs="Times New Roman"/>
        </w:rPr>
        <w:t>Approximately one year later, the debtor borrowed $6,300.00 from the same individual in order to pay additional</w:t>
      </w:r>
      <w:r w:rsidR="00CD669A" w:rsidRPr="00A3136F">
        <w:rPr>
          <w:rFonts w:ascii="Times New Roman" w:hAnsi="Times New Roman" w:cs="Times New Roman"/>
        </w:rPr>
        <w:t xml:space="preserve"> delinquent real estate taxes. </w:t>
      </w:r>
      <w:r w:rsidRPr="00A3136F">
        <w:rPr>
          <w:rFonts w:ascii="Times New Roman" w:hAnsi="Times New Roman" w:cs="Times New Roman"/>
        </w:rPr>
        <w:t>Both loans were made in order to prevent a tax s</w:t>
      </w:r>
      <w:r w:rsidR="00CD669A" w:rsidRPr="00A3136F">
        <w:rPr>
          <w:rFonts w:ascii="Times New Roman" w:hAnsi="Times New Roman" w:cs="Times New Roman"/>
        </w:rPr>
        <w:t xml:space="preserve">ale of the debtor’s homestead. </w:t>
      </w:r>
      <w:r w:rsidRPr="00A3136F">
        <w:rPr>
          <w:rFonts w:ascii="Times New Roman" w:hAnsi="Times New Roman" w:cs="Times New Roman"/>
        </w:rPr>
        <w:t xml:space="preserve">The debtor executed promissory notes </w:t>
      </w:r>
      <w:r w:rsidRPr="00A3136F">
        <w:rPr>
          <w:rFonts w:ascii="Times New Roman" w:hAnsi="Times New Roman" w:cs="Times New Roman"/>
        </w:rPr>
        <w:lastRenderedPageBreak/>
        <w:t>in favor of the l</w:t>
      </w:r>
      <w:r w:rsidR="00CD669A" w:rsidRPr="00A3136F">
        <w:rPr>
          <w:rFonts w:ascii="Times New Roman" w:hAnsi="Times New Roman" w:cs="Times New Roman"/>
        </w:rPr>
        <w:t>ender when the loans were made.</w:t>
      </w:r>
      <w:r w:rsidRPr="00A3136F">
        <w:rPr>
          <w:rFonts w:ascii="Times New Roman" w:hAnsi="Times New Roman" w:cs="Times New Roman"/>
        </w:rPr>
        <w:t xml:space="preserve"> Each note provided that the amount owed would be secured as a l</w:t>
      </w:r>
      <w:r w:rsidR="00CD669A" w:rsidRPr="00A3136F">
        <w:rPr>
          <w:rFonts w:ascii="Times New Roman" w:hAnsi="Times New Roman" w:cs="Times New Roman"/>
        </w:rPr>
        <w:t xml:space="preserve">ien on the homestead property. </w:t>
      </w:r>
      <w:r w:rsidRPr="00A3136F">
        <w:rPr>
          <w:rFonts w:ascii="Times New Roman" w:hAnsi="Times New Roman" w:cs="Times New Roman"/>
        </w:rPr>
        <w:t>In addition, each note provided that it was secured</w:t>
      </w:r>
      <w:r w:rsidR="00CD669A" w:rsidRPr="00A3136F">
        <w:rPr>
          <w:rFonts w:ascii="Times New Roman" w:hAnsi="Times New Roman" w:cs="Times New Roman"/>
        </w:rPr>
        <w:t xml:space="preserve"> by a mortgage on real estate. </w:t>
      </w:r>
      <w:r w:rsidRPr="00A3136F">
        <w:rPr>
          <w:rFonts w:ascii="Times New Roman" w:hAnsi="Times New Roman" w:cs="Times New Roman"/>
        </w:rPr>
        <w:t>Despite these references, no mortgages wer</w:t>
      </w:r>
      <w:r w:rsidR="00CD669A" w:rsidRPr="00A3136F">
        <w:rPr>
          <w:rFonts w:ascii="Times New Roman" w:hAnsi="Times New Roman" w:cs="Times New Roman"/>
        </w:rPr>
        <w:t xml:space="preserve">e ever executed by the debtor. </w:t>
      </w:r>
      <w:r w:rsidRPr="00A3136F">
        <w:rPr>
          <w:rFonts w:ascii="Times New Roman" w:hAnsi="Times New Roman" w:cs="Times New Roman"/>
        </w:rPr>
        <w:t>After the loans were made and the real taxes were paid</w:t>
      </w:r>
      <w:r w:rsidR="00CD669A" w:rsidRPr="00A3136F">
        <w:rPr>
          <w:rFonts w:ascii="Times New Roman" w:hAnsi="Times New Roman" w:cs="Times New Roman"/>
        </w:rPr>
        <w:t xml:space="preserve">, the debtor filed Chapter 13. </w:t>
      </w:r>
      <w:r w:rsidRPr="00A3136F">
        <w:rPr>
          <w:rFonts w:ascii="Times New Roman" w:hAnsi="Times New Roman" w:cs="Times New Roman"/>
        </w:rPr>
        <w:t>The lender then filed an adversary proceeding seeking, among other things, the imposition of an equitable l</w:t>
      </w:r>
      <w:r w:rsidR="00CD669A" w:rsidRPr="00A3136F">
        <w:rPr>
          <w:rFonts w:ascii="Times New Roman" w:hAnsi="Times New Roman" w:cs="Times New Roman"/>
        </w:rPr>
        <w:t xml:space="preserve">ien on the debtor’s homestead. </w:t>
      </w:r>
      <w:r w:rsidRPr="00A3136F">
        <w:rPr>
          <w:rFonts w:ascii="Times New Roman" w:hAnsi="Times New Roman" w:cs="Times New Roman"/>
        </w:rPr>
        <w:t>The Court imposed an equitable lien on the debtor’s homestead notwithstanding the exemption provisio</w:t>
      </w:r>
      <w:r w:rsidR="00CD669A" w:rsidRPr="00A3136F">
        <w:rPr>
          <w:rFonts w:ascii="Times New Roman" w:hAnsi="Times New Roman" w:cs="Times New Roman"/>
        </w:rPr>
        <w:t xml:space="preserve">n of the Florida Constitution. </w:t>
      </w:r>
      <w:r w:rsidRPr="00A3136F">
        <w:rPr>
          <w:rFonts w:ascii="Times New Roman" w:hAnsi="Times New Roman" w:cs="Times New Roman"/>
        </w:rPr>
        <w:t>The Court reasoned that Florida law supports the imposition of an equitable lien so long as there is an agreement which evidences an intention to create a mortgage on specific real property to secur</w:t>
      </w:r>
      <w:r w:rsidR="00CD669A" w:rsidRPr="00A3136F">
        <w:rPr>
          <w:rFonts w:ascii="Times New Roman" w:hAnsi="Times New Roman" w:cs="Times New Roman"/>
        </w:rPr>
        <w:t xml:space="preserve">e a debt. </w:t>
      </w:r>
      <w:r w:rsidRPr="00A3136F">
        <w:rPr>
          <w:rFonts w:ascii="Times New Roman" w:hAnsi="Times New Roman" w:cs="Times New Roman"/>
        </w:rPr>
        <w:t>The Court also relied on a line of cases holding that homestead property is subject to an equitable lien when the proceeds of a loan are used to satisfy prior mortgage and tax liens based on the doctrine of equitable subrogation.</w:t>
      </w:r>
    </w:p>
    <w:p w:rsidR="00384F70" w:rsidRPr="00A3136F" w:rsidRDefault="00384F70" w:rsidP="00CD669A">
      <w:pPr>
        <w:spacing w:after="0" w:line="240" w:lineRule="auto"/>
        <w:jc w:val="both"/>
        <w:rPr>
          <w:rFonts w:ascii="Times New Roman" w:hAnsi="Times New Roman" w:cs="Times New Roman"/>
        </w:rPr>
      </w:pPr>
    </w:p>
    <w:p w:rsidR="00384F70" w:rsidRPr="00A3136F" w:rsidRDefault="00384F70" w:rsidP="00CD669A">
      <w:pPr>
        <w:spacing w:after="0" w:line="240" w:lineRule="auto"/>
        <w:jc w:val="both"/>
        <w:rPr>
          <w:rFonts w:ascii="Times New Roman" w:hAnsi="Times New Roman" w:cs="Times New Roman"/>
          <w:b/>
        </w:rPr>
      </w:pPr>
      <w:r w:rsidRPr="00A3136F">
        <w:rPr>
          <w:rFonts w:ascii="Times New Roman" w:hAnsi="Times New Roman" w:cs="Times New Roman"/>
          <w:b/>
          <w:i/>
        </w:rPr>
        <w:t xml:space="preserve">In re Maguire Group Holdings, Inc. et al., </w:t>
      </w:r>
      <w:r w:rsidR="00F43782" w:rsidRPr="00A3136F">
        <w:rPr>
          <w:rFonts w:ascii="Times New Roman" w:hAnsi="Times New Roman" w:cs="Times New Roman"/>
          <w:b/>
        </w:rPr>
        <w:t xml:space="preserve">508 B.R. 504 </w:t>
      </w:r>
      <w:r w:rsidRPr="00A3136F">
        <w:rPr>
          <w:rFonts w:ascii="Times New Roman" w:hAnsi="Times New Roman" w:cs="Times New Roman"/>
          <w:b/>
        </w:rPr>
        <w:t>(</w:t>
      </w:r>
      <w:proofErr w:type="spellStart"/>
      <w:r w:rsidRPr="00A3136F">
        <w:rPr>
          <w:rFonts w:ascii="Times New Roman" w:hAnsi="Times New Roman" w:cs="Times New Roman"/>
          <w:b/>
        </w:rPr>
        <w:t>Bkrtcy</w:t>
      </w:r>
      <w:proofErr w:type="spellEnd"/>
      <w:r w:rsidRPr="00A3136F">
        <w:rPr>
          <w:rFonts w:ascii="Times New Roman" w:hAnsi="Times New Roman" w:cs="Times New Roman"/>
          <w:b/>
        </w:rPr>
        <w:t xml:space="preserve"> S.D. Fla. April 2, 2014)</w:t>
      </w:r>
    </w:p>
    <w:p w:rsidR="00384F70" w:rsidRPr="00A3136F" w:rsidRDefault="00384F70" w:rsidP="00CD669A">
      <w:pPr>
        <w:spacing w:after="0" w:line="240" w:lineRule="auto"/>
        <w:jc w:val="both"/>
        <w:rPr>
          <w:rFonts w:ascii="Times New Roman" w:hAnsi="Times New Roman" w:cs="Times New Roman"/>
          <w:b/>
        </w:rPr>
      </w:pPr>
    </w:p>
    <w:p w:rsidR="00384F70" w:rsidRPr="00A3136F" w:rsidRDefault="00384F70" w:rsidP="00CD669A">
      <w:pPr>
        <w:spacing w:after="0" w:line="240" w:lineRule="auto"/>
        <w:jc w:val="both"/>
        <w:rPr>
          <w:rFonts w:ascii="Times New Roman" w:hAnsi="Times New Roman" w:cs="Times New Roman"/>
        </w:rPr>
      </w:pPr>
      <w:r w:rsidRPr="00A3136F">
        <w:rPr>
          <w:rFonts w:ascii="Times New Roman" w:hAnsi="Times New Roman" w:cs="Times New Roman"/>
        </w:rPr>
        <w:t>Before filing Chapter 11 bankruptcy, the debtor and a third party provided architectural and design services in the construction of a public</w:t>
      </w:r>
      <w:r w:rsidR="00CD669A" w:rsidRPr="00A3136F">
        <w:rPr>
          <w:rFonts w:ascii="Times New Roman" w:hAnsi="Times New Roman" w:cs="Times New Roman"/>
        </w:rPr>
        <w:t xml:space="preserve"> works project in Connecticut. </w:t>
      </w:r>
      <w:r w:rsidRPr="00A3136F">
        <w:rPr>
          <w:rFonts w:ascii="Times New Roman" w:hAnsi="Times New Roman" w:cs="Times New Roman"/>
        </w:rPr>
        <w:t>The debtor agreed to indemnify the third party for negligent acts, errors and omissions and to provide a claims-made policy to protect the third party from liability arising out of the debtor’s perform</w:t>
      </w:r>
      <w:r w:rsidR="00CD669A" w:rsidRPr="00A3136F">
        <w:rPr>
          <w:rFonts w:ascii="Times New Roman" w:hAnsi="Times New Roman" w:cs="Times New Roman"/>
        </w:rPr>
        <w:t xml:space="preserve">ance of professional services. </w:t>
      </w:r>
      <w:r w:rsidRPr="00A3136F">
        <w:rPr>
          <w:rFonts w:ascii="Times New Roman" w:hAnsi="Times New Roman" w:cs="Times New Roman"/>
        </w:rPr>
        <w:t>Following the completion of construction, the State of Connecticut sued the debtor and the third party for damages arising out of alleged co</w:t>
      </w:r>
      <w:r w:rsidR="00CD669A" w:rsidRPr="00A3136F">
        <w:rPr>
          <w:rFonts w:ascii="Times New Roman" w:hAnsi="Times New Roman" w:cs="Times New Roman"/>
        </w:rPr>
        <w:t xml:space="preserve">nstruction and design defects. </w:t>
      </w:r>
      <w:r w:rsidRPr="00A3136F">
        <w:rPr>
          <w:rFonts w:ascii="Times New Roman" w:hAnsi="Times New Roman" w:cs="Times New Roman"/>
        </w:rPr>
        <w:t>Prior to confirmation, the debtor reached an agreement with the insurance company that issued the claims-made polic</w:t>
      </w:r>
      <w:r w:rsidR="00CD669A" w:rsidRPr="00A3136F">
        <w:rPr>
          <w:rFonts w:ascii="Times New Roman" w:hAnsi="Times New Roman" w:cs="Times New Roman"/>
        </w:rPr>
        <w:t xml:space="preserve">y. </w:t>
      </w:r>
      <w:r w:rsidRPr="00A3136F">
        <w:rPr>
          <w:rFonts w:ascii="Times New Roman" w:hAnsi="Times New Roman" w:cs="Times New Roman"/>
        </w:rPr>
        <w:t>The settlement provided that the reorganized debtor would reimburse the insurer up to $150,000.00 for expenses incurred by the insurer</w:t>
      </w:r>
      <w:r w:rsidR="00CD669A" w:rsidRPr="00A3136F">
        <w:rPr>
          <w:rFonts w:ascii="Times New Roman" w:hAnsi="Times New Roman" w:cs="Times New Roman"/>
        </w:rPr>
        <w:t xml:space="preserve"> in defending against claims. </w:t>
      </w:r>
      <w:r w:rsidRPr="00A3136F">
        <w:rPr>
          <w:rFonts w:ascii="Times New Roman" w:hAnsi="Times New Roman" w:cs="Times New Roman"/>
        </w:rPr>
        <w:t>Following confirmation, the third party south to reopen the case and modify the discharge injunction in order to pursue a claim a</w:t>
      </w:r>
      <w:r w:rsidR="00CD669A" w:rsidRPr="00A3136F">
        <w:rPr>
          <w:rFonts w:ascii="Times New Roman" w:hAnsi="Times New Roman" w:cs="Times New Roman"/>
        </w:rPr>
        <w:t xml:space="preserve">gainst the reorganized debtor. </w:t>
      </w:r>
      <w:r w:rsidRPr="00A3136F">
        <w:rPr>
          <w:rFonts w:ascii="Times New Roman" w:hAnsi="Times New Roman" w:cs="Times New Roman"/>
        </w:rPr>
        <w:t>The third party conceded that its pre-petition claim was discharged and sought re</w:t>
      </w:r>
      <w:r w:rsidR="00CD669A" w:rsidRPr="00A3136F">
        <w:rPr>
          <w:rFonts w:ascii="Times New Roman" w:hAnsi="Times New Roman" w:cs="Times New Roman"/>
        </w:rPr>
        <w:t xml:space="preserve">lief only against the insurer. </w:t>
      </w:r>
      <w:r w:rsidRPr="00A3136F">
        <w:rPr>
          <w:rFonts w:ascii="Times New Roman" w:hAnsi="Times New Roman" w:cs="Times New Roman"/>
        </w:rPr>
        <w:t>The Bankruptcy Court denied the motion, finding that the debtor’s fresh start would be impaired if the third party, which had not filed a claim and did not object to confirmation, engaged in litigation to reco</w:t>
      </w:r>
      <w:r w:rsidR="00CD669A" w:rsidRPr="00A3136F">
        <w:rPr>
          <w:rFonts w:ascii="Times New Roman" w:hAnsi="Times New Roman" w:cs="Times New Roman"/>
        </w:rPr>
        <w:t xml:space="preserve">ver on the claims-made policy. </w:t>
      </w:r>
      <w:r w:rsidRPr="00A3136F">
        <w:rPr>
          <w:rFonts w:ascii="Times New Roman" w:hAnsi="Times New Roman" w:cs="Times New Roman"/>
        </w:rPr>
        <w:t xml:space="preserve">Specifically, the Court determined that the defense expenses incurred by the insurer would exceed $150,000.00, and the reorganized debtor would be required to reimburse the insurer up to that amount.  </w:t>
      </w:r>
    </w:p>
    <w:p w:rsidR="00F30537" w:rsidRPr="00A3136F" w:rsidRDefault="00F30537" w:rsidP="00187CA9">
      <w:pPr>
        <w:spacing w:after="0" w:line="240" w:lineRule="auto"/>
        <w:rPr>
          <w:rFonts w:ascii="Times New Roman" w:hAnsi="Times New Roman" w:cs="Times New Roman"/>
          <w:b/>
          <w:u w:val="single"/>
        </w:rPr>
      </w:pPr>
    </w:p>
    <w:p w:rsidR="00F30537" w:rsidRPr="00A3136F" w:rsidRDefault="00384F70" w:rsidP="00187CA9">
      <w:pPr>
        <w:spacing w:after="0" w:line="240" w:lineRule="auto"/>
        <w:rPr>
          <w:rFonts w:ascii="Times New Roman" w:hAnsi="Times New Roman" w:cs="Times New Roman"/>
          <w:i/>
        </w:rPr>
      </w:pPr>
      <w:r w:rsidRPr="00A3136F">
        <w:rPr>
          <w:rFonts w:ascii="Times New Roman" w:hAnsi="Times New Roman" w:cs="Times New Roman"/>
          <w:i/>
        </w:rPr>
        <w:t>Submitted by:</w:t>
      </w:r>
    </w:p>
    <w:p w:rsidR="00384F70" w:rsidRPr="00A3136F" w:rsidRDefault="00384F70" w:rsidP="00384F70">
      <w:pPr>
        <w:spacing w:after="0" w:line="240" w:lineRule="auto"/>
        <w:rPr>
          <w:rFonts w:ascii="Times New Roman" w:hAnsi="Times New Roman" w:cs="Times New Roman"/>
          <w:b/>
        </w:rPr>
      </w:pPr>
      <w:r w:rsidRPr="00A3136F">
        <w:rPr>
          <w:rFonts w:ascii="Times New Roman" w:hAnsi="Times New Roman" w:cs="Times New Roman"/>
          <w:b/>
        </w:rPr>
        <w:t>Lynn James Hinson</w:t>
      </w:r>
    </w:p>
    <w:p w:rsidR="00384F70" w:rsidRPr="00A3136F" w:rsidRDefault="00384F70" w:rsidP="00384F70">
      <w:pPr>
        <w:spacing w:after="0" w:line="240" w:lineRule="auto"/>
        <w:rPr>
          <w:rFonts w:ascii="Times New Roman" w:hAnsi="Times New Roman" w:cs="Times New Roman"/>
        </w:rPr>
      </w:pPr>
      <w:proofErr w:type="gramStart"/>
      <w:r w:rsidRPr="00A3136F">
        <w:rPr>
          <w:rFonts w:ascii="Times New Roman" w:hAnsi="Times New Roman" w:cs="Times New Roman"/>
        </w:rPr>
        <w:t xml:space="preserve">Dean, Mead, Egerton, </w:t>
      </w:r>
      <w:proofErr w:type="spellStart"/>
      <w:r w:rsidRPr="00A3136F">
        <w:rPr>
          <w:rFonts w:ascii="Times New Roman" w:hAnsi="Times New Roman" w:cs="Times New Roman"/>
        </w:rPr>
        <w:t>Bloodworth</w:t>
      </w:r>
      <w:proofErr w:type="spellEnd"/>
      <w:r w:rsidRPr="00A3136F">
        <w:rPr>
          <w:rFonts w:ascii="Times New Roman" w:hAnsi="Times New Roman" w:cs="Times New Roman"/>
        </w:rPr>
        <w:t xml:space="preserve">, </w:t>
      </w:r>
      <w:proofErr w:type="spellStart"/>
      <w:r w:rsidRPr="00A3136F">
        <w:rPr>
          <w:rFonts w:ascii="Times New Roman" w:hAnsi="Times New Roman" w:cs="Times New Roman"/>
        </w:rPr>
        <w:t>Capouano</w:t>
      </w:r>
      <w:proofErr w:type="spellEnd"/>
      <w:r w:rsidRPr="00A3136F">
        <w:rPr>
          <w:rFonts w:ascii="Times New Roman" w:hAnsi="Times New Roman" w:cs="Times New Roman"/>
        </w:rPr>
        <w:t xml:space="preserve"> &amp; </w:t>
      </w:r>
      <w:proofErr w:type="spellStart"/>
      <w:r w:rsidRPr="00A3136F">
        <w:rPr>
          <w:rFonts w:ascii="Times New Roman" w:hAnsi="Times New Roman" w:cs="Times New Roman"/>
        </w:rPr>
        <w:t>Bozarth</w:t>
      </w:r>
      <w:proofErr w:type="spellEnd"/>
      <w:r w:rsidRPr="00A3136F">
        <w:rPr>
          <w:rFonts w:ascii="Times New Roman" w:hAnsi="Times New Roman" w:cs="Times New Roman"/>
        </w:rPr>
        <w:t>, P.A.</w:t>
      </w:r>
      <w:proofErr w:type="gramEnd"/>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800 North Magnolia Avenue, Suite 1500</w:t>
      </w:r>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Orlando, Florida 32803</w:t>
      </w:r>
    </w:p>
    <w:p w:rsidR="00384F70" w:rsidRPr="00A3136F" w:rsidRDefault="00384F70" w:rsidP="00384F70">
      <w:pPr>
        <w:spacing w:after="0" w:line="240" w:lineRule="auto"/>
        <w:rPr>
          <w:rFonts w:ascii="Times New Roman" w:hAnsi="Times New Roman" w:cs="Times New Roman"/>
        </w:rPr>
      </w:pPr>
      <w:r w:rsidRPr="00A3136F">
        <w:rPr>
          <w:rFonts w:ascii="Times New Roman" w:hAnsi="Times New Roman" w:cs="Times New Roman"/>
        </w:rPr>
        <w:t>Tel: 407-841-1200 Fax: 407-423-1831</w:t>
      </w:r>
    </w:p>
    <w:bookmarkEnd w:id="0"/>
    <w:p w:rsidR="00187CA9" w:rsidRDefault="00187CA9" w:rsidP="00187CA9">
      <w:pPr>
        <w:spacing w:after="0" w:line="240" w:lineRule="auto"/>
        <w:rPr>
          <w:rFonts w:ascii="Times New Roman" w:hAnsi="Times New Roman" w:cs="Times New Roman"/>
          <w:b/>
          <w:sz w:val="24"/>
          <w:u w:val="single"/>
        </w:rPr>
      </w:pPr>
    </w:p>
    <w:p w:rsidR="001671FA" w:rsidRPr="001671FA" w:rsidRDefault="001671FA" w:rsidP="00187CA9">
      <w:pPr>
        <w:spacing w:after="0" w:line="240" w:lineRule="auto"/>
        <w:rPr>
          <w:rFonts w:ascii="Times New Roman" w:hAnsi="Times New Roman" w:cs="Times New Roman"/>
          <w:b/>
          <w:sz w:val="24"/>
          <w:u w:val="single"/>
        </w:rPr>
      </w:pPr>
    </w:p>
    <w:p w:rsidR="000F0624" w:rsidRPr="00437BEC" w:rsidRDefault="000F0624" w:rsidP="00187CA9">
      <w:pPr>
        <w:spacing w:after="0" w:line="240" w:lineRule="auto"/>
        <w:rPr>
          <w:rFonts w:ascii="Times New Roman" w:hAnsi="Times New Roman" w:cs="Times New Roman"/>
          <w:sz w:val="24"/>
          <w:szCs w:val="24"/>
        </w:rPr>
      </w:pPr>
    </w:p>
    <w:sectPr w:rsidR="000F0624" w:rsidRPr="00437BEC" w:rsidSect="00780FD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BDA" w:rsidRDefault="00C10BDA" w:rsidP="00C10BDA">
      <w:pPr>
        <w:spacing w:after="0" w:line="240" w:lineRule="auto"/>
      </w:pPr>
      <w:r>
        <w:separator/>
      </w:r>
    </w:p>
  </w:endnote>
  <w:endnote w:type="continuationSeparator" w:id="0">
    <w:p w:rsidR="00C10BDA" w:rsidRDefault="00C10BDA" w:rsidP="00C10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BDA" w:rsidRDefault="00C10B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BDA" w:rsidRDefault="00C10B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BDA" w:rsidRDefault="00C10B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BDA" w:rsidRDefault="00C10BDA" w:rsidP="00C10BDA">
      <w:pPr>
        <w:spacing w:after="0" w:line="240" w:lineRule="auto"/>
      </w:pPr>
      <w:r>
        <w:separator/>
      </w:r>
    </w:p>
  </w:footnote>
  <w:footnote w:type="continuationSeparator" w:id="0">
    <w:p w:rsidR="00C10BDA" w:rsidRDefault="00C10BDA" w:rsidP="00C10B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BDA" w:rsidRDefault="00C10B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BDA" w:rsidRDefault="00C10B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BDA" w:rsidRDefault="00C10B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removePersonalInformation/>
  <w:proofState w:spelling="clean" w:grammar="clean"/>
  <w:defaultTabStop w:val="720"/>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BEC"/>
    <w:rsid w:val="00063A0D"/>
    <w:rsid w:val="000F0624"/>
    <w:rsid w:val="001671FA"/>
    <w:rsid w:val="00187CA9"/>
    <w:rsid w:val="001C1524"/>
    <w:rsid w:val="00212D67"/>
    <w:rsid w:val="00384F70"/>
    <w:rsid w:val="00437BEC"/>
    <w:rsid w:val="004B2DDE"/>
    <w:rsid w:val="005406B2"/>
    <w:rsid w:val="005F0E0A"/>
    <w:rsid w:val="006A2E0F"/>
    <w:rsid w:val="006B254D"/>
    <w:rsid w:val="00780FDA"/>
    <w:rsid w:val="007A240A"/>
    <w:rsid w:val="00845277"/>
    <w:rsid w:val="008E21BF"/>
    <w:rsid w:val="009C3EC8"/>
    <w:rsid w:val="00A01FE7"/>
    <w:rsid w:val="00A3136F"/>
    <w:rsid w:val="00C10BDA"/>
    <w:rsid w:val="00C53A98"/>
    <w:rsid w:val="00C91A61"/>
    <w:rsid w:val="00CD669A"/>
    <w:rsid w:val="00EA0195"/>
    <w:rsid w:val="00F30537"/>
    <w:rsid w:val="00F43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7CA9"/>
    <w:rPr>
      <w:rFonts w:cs="Times New Roman"/>
      <w:color w:val="0000FF"/>
      <w:u w:val="single"/>
    </w:rPr>
  </w:style>
  <w:style w:type="paragraph" w:styleId="PlainText">
    <w:name w:val="Plain Text"/>
    <w:basedOn w:val="Normal"/>
    <w:link w:val="PlainTextChar"/>
    <w:uiPriority w:val="99"/>
    <w:semiHidden/>
    <w:unhideWhenUsed/>
    <w:rsid w:val="00187CA9"/>
    <w:pPr>
      <w:spacing w:after="0" w:line="240" w:lineRule="auto"/>
    </w:pPr>
    <w:rPr>
      <w:rFonts w:ascii="Calibri" w:eastAsia="Times New Roman" w:hAnsi="Calibri" w:cs="Times New Roman"/>
    </w:rPr>
  </w:style>
  <w:style w:type="character" w:customStyle="1" w:styleId="PlainTextChar">
    <w:name w:val="Plain Text Char"/>
    <w:basedOn w:val="DefaultParagraphFont"/>
    <w:link w:val="PlainText"/>
    <w:uiPriority w:val="99"/>
    <w:semiHidden/>
    <w:rsid w:val="00187CA9"/>
    <w:rPr>
      <w:rFonts w:ascii="Calibri" w:eastAsia="Times New Roman" w:hAnsi="Calibri" w:cs="Times New Roman"/>
    </w:rPr>
  </w:style>
  <w:style w:type="character" w:styleId="Strong">
    <w:name w:val="Strong"/>
    <w:basedOn w:val="DefaultParagraphFont"/>
    <w:uiPriority w:val="22"/>
    <w:qFormat/>
    <w:rsid w:val="00F30537"/>
    <w:rPr>
      <w:rFonts w:cs="Times New Roman"/>
      <w:b/>
      <w:bCs/>
    </w:rPr>
  </w:style>
  <w:style w:type="paragraph" w:styleId="Header">
    <w:name w:val="header"/>
    <w:basedOn w:val="Normal"/>
    <w:link w:val="HeaderChar"/>
    <w:uiPriority w:val="99"/>
    <w:unhideWhenUsed/>
    <w:rsid w:val="00C10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BDA"/>
  </w:style>
  <w:style w:type="paragraph" w:styleId="Footer">
    <w:name w:val="footer"/>
    <w:basedOn w:val="Normal"/>
    <w:link w:val="FooterChar"/>
    <w:uiPriority w:val="99"/>
    <w:unhideWhenUsed/>
    <w:rsid w:val="00C10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7CA9"/>
    <w:rPr>
      <w:rFonts w:cs="Times New Roman"/>
      <w:color w:val="0000FF"/>
      <w:u w:val="single"/>
    </w:rPr>
  </w:style>
  <w:style w:type="paragraph" w:styleId="PlainText">
    <w:name w:val="Plain Text"/>
    <w:basedOn w:val="Normal"/>
    <w:link w:val="PlainTextChar"/>
    <w:uiPriority w:val="99"/>
    <w:semiHidden/>
    <w:unhideWhenUsed/>
    <w:rsid w:val="00187CA9"/>
    <w:pPr>
      <w:spacing w:after="0" w:line="240" w:lineRule="auto"/>
    </w:pPr>
    <w:rPr>
      <w:rFonts w:ascii="Calibri" w:eastAsia="Times New Roman" w:hAnsi="Calibri" w:cs="Times New Roman"/>
    </w:rPr>
  </w:style>
  <w:style w:type="character" w:customStyle="1" w:styleId="PlainTextChar">
    <w:name w:val="Plain Text Char"/>
    <w:basedOn w:val="DefaultParagraphFont"/>
    <w:link w:val="PlainText"/>
    <w:uiPriority w:val="99"/>
    <w:semiHidden/>
    <w:rsid w:val="00187CA9"/>
    <w:rPr>
      <w:rFonts w:ascii="Calibri" w:eastAsia="Times New Roman" w:hAnsi="Calibri" w:cs="Times New Roman"/>
    </w:rPr>
  </w:style>
  <w:style w:type="character" w:styleId="Strong">
    <w:name w:val="Strong"/>
    <w:basedOn w:val="DefaultParagraphFont"/>
    <w:uiPriority w:val="22"/>
    <w:qFormat/>
    <w:rsid w:val="00F30537"/>
    <w:rPr>
      <w:rFonts w:cs="Times New Roman"/>
      <w:b/>
      <w:bCs/>
    </w:rPr>
  </w:style>
  <w:style w:type="paragraph" w:styleId="Header">
    <w:name w:val="header"/>
    <w:basedOn w:val="Normal"/>
    <w:link w:val="HeaderChar"/>
    <w:uiPriority w:val="99"/>
    <w:unhideWhenUsed/>
    <w:rsid w:val="00C10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BDA"/>
  </w:style>
  <w:style w:type="paragraph" w:styleId="Footer">
    <w:name w:val="footer"/>
    <w:basedOn w:val="Normal"/>
    <w:link w:val="FooterChar"/>
    <w:uiPriority w:val="99"/>
    <w:unhideWhenUsed/>
    <w:rsid w:val="00C10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49554">
      <w:bodyDiv w:val="1"/>
      <w:marLeft w:val="0"/>
      <w:marRight w:val="0"/>
      <w:marTop w:val="0"/>
      <w:marBottom w:val="0"/>
      <w:divBdr>
        <w:top w:val="none" w:sz="0" w:space="0" w:color="auto"/>
        <w:left w:val="none" w:sz="0" w:space="0" w:color="auto"/>
        <w:bottom w:val="none" w:sz="0" w:space="0" w:color="auto"/>
        <w:right w:val="none" w:sz="0" w:space="0" w:color="auto"/>
      </w:divBdr>
      <w:divsChild>
        <w:div w:id="936669208">
          <w:marLeft w:val="0"/>
          <w:marRight w:val="0"/>
          <w:marTop w:val="0"/>
          <w:marBottom w:val="0"/>
          <w:divBdr>
            <w:top w:val="none" w:sz="0" w:space="0" w:color="auto"/>
            <w:left w:val="none" w:sz="0" w:space="0" w:color="auto"/>
            <w:bottom w:val="none" w:sz="0" w:space="0" w:color="auto"/>
            <w:right w:val="none" w:sz="0" w:space="0" w:color="auto"/>
          </w:divBdr>
        </w:div>
        <w:div w:id="1708480641">
          <w:marLeft w:val="0"/>
          <w:marRight w:val="0"/>
          <w:marTop w:val="0"/>
          <w:marBottom w:val="0"/>
          <w:divBdr>
            <w:top w:val="none" w:sz="0" w:space="0" w:color="auto"/>
            <w:left w:val="none" w:sz="0" w:space="0" w:color="auto"/>
            <w:bottom w:val="none" w:sz="0" w:space="0" w:color="auto"/>
            <w:right w:val="none" w:sz="0" w:space="0" w:color="auto"/>
          </w:divBdr>
        </w:div>
        <w:div w:id="1936161643">
          <w:marLeft w:val="0"/>
          <w:marRight w:val="0"/>
          <w:marTop w:val="0"/>
          <w:marBottom w:val="0"/>
          <w:divBdr>
            <w:top w:val="none" w:sz="0" w:space="0" w:color="auto"/>
            <w:left w:val="none" w:sz="0" w:space="0" w:color="auto"/>
            <w:bottom w:val="none" w:sz="0" w:space="0" w:color="auto"/>
            <w:right w:val="none" w:sz="0" w:space="0" w:color="auto"/>
          </w:divBdr>
        </w:div>
        <w:div w:id="1518738809">
          <w:marLeft w:val="0"/>
          <w:marRight w:val="0"/>
          <w:marTop w:val="0"/>
          <w:marBottom w:val="0"/>
          <w:divBdr>
            <w:top w:val="none" w:sz="0" w:space="0" w:color="auto"/>
            <w:left w:val="none" w:sz="0" w:space="0" w:color="auto"/>
            <w:bottom w:val="none" w:sz="0" w:space="0" w:color="auto"/>
            <w:right w:val="none" w:sz="0" w:space="0" w:color="auto"/>
          </w:divBdr>
        </w:div>
        <w:div w:id="780956680">
          <w:marLeft w:val="0"/>
          <w:marRight w:val="0"/>
          <w:marTop w:val="0"/>
          <w:marBottom w:val="0"/>
          <w:divBdr>
            <w:top w:val="none" w:sz="0" w:space="0" w:color="auto"/>
            <w:left w:val="none" w:sz="0" w:space="0" w:color="auto"/>
            <w:bottom w:val="none" w:sz="0" w:space="0" w:color="auto"/>
            <w:right w:val="none" w:sz="0" w:space="0" w:color="auto"/>
          </w:divBdr>
        </w:div>
        <w:div w:id="93017350">
          <w:marLeft w:val="0"/>
          <w:marRight w:val="0"/>
          <w:marTop w:val="0"/>
          <w:marBottom w:val="0"/>
          <w:divBdr>
            <w:top w:val="none" w:sz="0" w:space="0" w:color="auto"/>
            <w:left w:val="none" w:sz="0" w:space="0" w:color="auto"/>
            <w:bottom w:val="none" w:sz="0" w:space="0" w:color="auto"/>
            <w:right w:val="none" w:sz="0" w:space="0" w:color="auto"/>
          </w:divBdr>
        </w:div>
        <w:div w:id="1439913056">
          <w:marLeft w:val="0"/>
          <w:marRight w:val="0"/>
          <w:marTop w:val="0"/>
          <w:marBottom w:val="0"/>
          <w:divBdr>
            <w:top w:val="none" w:sz="0" w:space="0" w:color="auto"/>
            <w:left w:val="none" w:sz="0" w:space="0" w:color="auto"/>
            <w:bottom w:val="none" w:sz="0" w:space="0" w:color="auto"/>
            <w:right w:val="none" w:sz="0" w:space="0" w:color="auto"/>
          </w:divBdr>
        </w:div>
      </w:divsChild>
    </w:div>
    <w:div w:id="778720639">
      <w:bodyDiv w:val="1"/>
      <w:marLeft w:val="0"/>
      <w:marRight w:val="0"/>
      <w:marTop w:val="0"/>
      <w:marBottom w:val="0"/>
      <w:divBdr>
        <w:top w:val="none" w:sz="0" w:space="0" w:color="auto"/>
        <w:left w:val="none" w:sz="0" w:space="0" w:color="auto"/>
        <w:bottom w:val="none" w:sz="0" w:space="0" w:color="auto"/>
        <w:right w:val="none" w:sz="0" w:space="0" w:color="auto"/>
      </w:divBdr>
      <w:divsChild>
        <w:div w:id="307710451">
          <w:marLeft w:val="0"/>
          <w:marRight w:val="0"/>
          <w:marTop w:val="0"/>
          <w:marBottom w:val="0"/>
          <w:divBdr>
            <w:top w:val="none" w:sz="0" w:space="0" w:color="auto"/>
            <w:left w:val="none" w:sz="0" w:space="0" w:color="auto"/>
            <w:bottom w:val="none" w:sz="0" w:space="0" w:color="auto"/>
            <w:right w:val="none" w:sz="0" w:space="0" w:color="auto"/>
          </w:divBdr>
        </w:div>
        <w:div w:id="22751490">
          <w:marLeft w:val="0"/>
          <w:marRight w:val="0"/>
          <w:marTop w:val="0"/>
          <w:marBottom w:val="0"/>
          <w:divBdr>
            <w:top w:val="none" w:sz="0" w:space="0" w:color="auto"/>
            <w:left w:val="none" w:sz="0" w:space="0" w:color="auto"/>
            <w:bottom w:val="none" w:sz="0" w:space="0" w:color="auto"/>
            <w:right w:val="none" w:sz="0" w:space="0" w:color="auto"/>
          </w:divBdr>
        </w:div>
        <w:div w:id="1029913138">
          <w:marLeft w:val="0"/>
          <w:marRight w:val="0"/>
          <w:marTop w:val="0"/>
          <w:marBottom w:val="0"/>
          <w:divBdr>
            <w:top w:val="none" w:sz="0" w:space="0" w:color="auto"/>
            <w:left w:val="none" w:sz="0" w:space="0" w:color="auto"/>
            <w:bottom w:val="none" w:sz="0" w:space="0" w:color="auto"/>
            <w:right w:val="none" w:sz="0" w:space="0" w:color="auto"/>
          </w:divBdr>
        </w:div>
        <w:div w:id="970553117">
          <w:marLeft w:val="0"/>
          <w:marRight w:val="0"/>
          <w:marTop w:val="0"/>
          <w:marBottom w:val="0"/>
          <w:divBdr>
            <w:top w:val="none" w:sz="0" w:space="0" w:color="auto"/>
            <w:left w:val="none" w:sz="0" w:space="0" w:color="auto"/>
            <w:bottom w:val="none" w:sz="0" w:space="0" w:color="auto"/>
            <w:right w:val="none" w:sz="0" w:space="0" w:color="auto"/>
          </w:divBdr>
        </w:div>
        <w:div w:id="1180120338">
          <w:marLeft w:val="0"/>
          <w:marRight w:val="0"/>
          <w:marTop w:val="0"/>
          <w:marBottom w:val="0"/>
          <w:divBdr>
            <w:top w:val="none" w:sz="0" w:space="0" w:color="auto"/>
            <w:left w:val="none" w:sz="0" w:space="0" w:color="auto"/>
            <w:bottom w:val="none" w:sz="0" w:space="0" w:color="auto"/>
            <w:right w:val="none" w:sz="0" w:space="0" w:color="auto"/>
          </w:divBdr>
        </w:div>
        <w:div w:id="349063668">
          <w:marLeft w:val="0"/>
          <w:marRight w:val="0"/>
          <w:marTop w:val="0"/>
          <w:marBottom w:val="0"/>
          <w:divBdr>
            <w:top w:val="none" w:sz="0" w:space="0" w:color="auto"/>
            <w:left w:val="none" w:sz="0" w:space="0" w:color="auto"/>
            <w:bottom w:val="none" w:sz="0" w:space="0" w:color="auto"/>
            <w:right w:val="none" w:sz="0" w:space="0" w:color="auto"/>
          </w:divBdr>
        </w:div>
        <w:div w:id="582951789">
          <w:marLeft w:val="0"/>
          <w:marRight w:val="0"/>
          <w:marTop w:val="0"/>
          <w:marBottom w:val="0"/>
          <w:divBdr>
            <w:top w:val="none" w:sz="0" w:space="0" w:color="auto"/>
            <w:left w:val="none" w:sz="0" w:space="0" w:color="auto"/>
            <w:bottom w:val="none" w:sz="0" w:space="0" w:color="auto"/>
            <w:right w:val="none" w:sz="0" w:space="0" w:color="auto"/>
          </w:divBdr>
        </w:div>
        <w:div w:id="740299595">
          <w:marLeft w:val="0"/>
          <w:marRight w:val="0"/>
          <w:marTop w:val="0"/>
          <w:marBottom w:val="0"/>
          <w:divBdr>
            <w:top w:val="none" w:sz="0" w:space="0" w:color="auto"/>
            <w:left w:val="none" w:sz="0" w:space="0" w:color="auto"/>
            <w:bottom w:val="none" w:sz="0" w:space="0" w:color="auto"/>
            <w:right w:val="none" w:sz="0" w:space="0" w:color="auto"/>
          </w:divBdr>
        </w:div>
      </w:divsChild>
    </w:div>
    <w:div w:id="1578510691">
      <w:bodyDiv w:val="1"/>
      <w:marLeft w:val="0"/>
      <w:marRight w:val="0"/>
      <w:marTop w:val="0"/>
      <w:marBottom w:val="0"/>
      <w:divBdr>
        <w:top w:val="none" w:sz="0" w:space="0" w:color="auto"/>
        <w:left w:val="none" w:sz="0" w:space="0" w:color="auto"/>
        <w:bottom w:val="none" w:sz="0" w:space="0" w:color="auto"/>
        <w:right w:val="none" w:sz="0" w:space="0" w:color="auto"/>
      </w:divBdr>
      <w:divsChild>
        <w:div w:id="2069376383">
          <w:marLeft w:val="0"/>
          <w:marRight w:val="0"/>
          <w:marTop w:val="0"/>
          <w:marBottom w:val="0"/>
          <w:divBdr>
            <w:top w:val="none" w:sz="0" w:space="0" w:color="auto"/>
            <w:left w:val="none" w:sz="0" w:space="0" w:color="auto"/>
            <w:bottom w:val="none" w:sz="0" w:space="0" w:color="auto"/>
            <w:right w:val="none" w:sz="0" w:space="0" w:color="auto"/>
          </w:divBdr>
        </w:div>
        <w:div w:id="1942058866">
          <w:marLeft w:val="0"/>
          <w:marRight w:val="0"/>
          <w:marTop w:val="0"/>
          <w:marBottom w:val="0"/>
          <w:divBdr>
            <w:top w:val="none" w:sz="0" w:space="0" w:color="auto"/>
            <w:left w:val="none" w:sz="0" w:space="0" w:color="auto"/>
            <w:bottom w:val="none" w:sz="0" w:space="0" w:color="auto"/>
            <w:right w:val="none" w:sz="0" w:space="0" w:color="auto"/>
          </w:divBdr>
        </w:div>
        <w:div w:id="253562741">
          <w:marLeft w:val="0"/>
          <w:marRight w:val="0"/>
          <w:marTop w:val="0"/>
          <w:marBottom w:val="0"/>
          <w:divBdr>
            <w:top w:val="none" w:sz="0" w:space="0" w:color="auto"/>
            <w:left w:val="none" w:sz="0" w:space="0" w:color="auto"/>
            <w:bottom w:val="none" w:sz="0" w:space="0" w:color="auto"/>
            <w:right w:val="none" w:sz="0" w:space="0" w:color="auto"/>
          </w:divBdr>
        </w:div>
        <w:div w:id="276107820">
          <w:marLeft w:val="0"/>
          <w:marRight w:val="0"/>
          <w:marTop w:val="0"/>
          <w:marBottom w:val="0"/>
          <w:divBdr>
            <w:top w:val="none" w:sz="0" w:space="0" w:color="auto"/>
            <w:left w:val="none" w:sz="0" w:space="0" w:color="auto"/>
            <w:bottom w:val="none" w:sz="0" w:space="0" w:color="auto"/>
            <w:right w:val="none" w:sz="0" w:space="0" w:color="auto"/>
          </w:divBdr>
        </w:div>
        <w:div w:id="1113475277">
          <w:marLeft w:val="0"/>
          <w:marRight w:val="0"/>
          <w:marTop w:val="0"/>
          <w:marBottom w:val="0"/>
          <w:divBdr>
            <w:top w:val="none" w:sz="0" w:space="0" w:color="auto"/>
            <w:left w:val="none" w:sz="0" w:space="0" w:color="auto"/>
            <w:bottom w:val="none" w:sz="0" w:space="0" w:color="auto"/>
            <w:right w:val="none" w:sz="0" w:space="0" w:color="auto"/>
          </w:divBdr>
        </w:div>
        <w:div w:id="1861579187">
          <w:marLeft w:val="0"/>
          <w:marRight w:val="0"/>
          <w:marTop w:val="0"/>
          <w:marBottom w:val="0"/>
          <w:divBdr>
            <w:top w:val="none" w:sz="0" w:space="0" w:color="auto"/>
            <w:left w:val="none" w:sz="0" w:space="0" w:color="auto"/>
            <w:bottom w:val="none" w:sz="0" w:space="0" w:color="auto"/>
            <w:right w:val="none" w:sz="0" w:space="0" w:color="auto"/>
          </w:divBdr>
        </w:div>
        <w:div w:id="169177135">
          <w:marLeft w:val="0"/>
          <w:marRight w:val="0"/>
          <w:marTop w:val="0"/>
          <w:marBottom w:val="0"/>
          <w:divBdr>
            <w:top w:val="none" w:sz="0" w:space="0" w:color="auto"/>
            <w:left w:val="none" w:sz="0" w:space="0" w:color="auto"/>
            <w:bottom w:val="none" w:sz="0" w:space="0" w:color="auto"/>
            <w:right w:val="none" w:sz="0" w:space="0" w:color="auto"/>
          </w:divBdr>
        </w:div>
      </w:divsChild>
    </w:div>
    <w:div w:id="1879514629">
      <w:bodyDiv w:val="1"/>
      <w:marLeft w:val="0"/>
      <w:marRight w:val="0"/>
      <w:marTop w:val="0"/>
      <w:marBottom w:val="0"/>
      <w:divBdr>
        <w:top w:val="none" w:sz="0" w:space="0" w:color="auto"/>
        <w:left w:val="none" w:sz="0" w:space="0" w:color="auto"/>
        <w:bottom w:val="none" w:sz="0" w:space="0" w:color="auto"/>
        <w:right w:val="none" w:sz="0" w:space="0" w:color="auto"/>
      </w:divBdr>
      <w:divsChild>
        <w:div w:id="311101085">
          <w:marLeft w:val="0"/>
          <w:marRight w:val="0"/>
          <w:marTop w:val="0"/>
          <w:marBottom w:val="0"/>
          <w:divBdr>
            <w:top w:val="none" w:sz="0" w:space="0" w:color="auto"/>
            <w:left w:val="none" w:sz="0" w:space="0" w:color="auto"/>
            <w:bottom w:val="none" w:sz="0" w:space="0" w:color="auto"/>
            <w:right w:val="none" w:sz="0" w:space="0" w:color="auto"/>
          </w:divBdr>
        </w:div>
        <w:div w:id="1248535595">
          <w:marLeft w:val="0"/>
          <w:marRight w:val="0"/>
          <w:marTop w:val="0"/>
          <w:marBottom w:val="0"/>
          <w:divBdr>
            <w:top w:val="none" w:sz="0" w:space="0" w:color="auto"/>
            <w:left w:val="none" w:sz="0" w:space="0" w:color="auto"/>
            <w:bottom w:val="none" w:sz="0" w:space="0" w:color="auto"/>
            <w:right w:val="none" w:sz="0" w:space="0" w:color="auto"/>
          </w:divBdr>
        </w:div>
        <w:div w:id="658313958">
          <w:marLeft w:val="0"/>
          <w:marRight w:val="0"/>
          <w:marTop w:val="0"/>
          <w:marBottom w:val="0"/>
          <w:divBdr>
            <w:top w:val="none" w:sz="0" w:space="0" w:color="auto"/>
            <w:left w:val="none" w:sz="0" w:space="0" w:color="auto"/>
            <w:bottom w:val="none" w:sz="0" w:space="0" w:color="auto"/>
            <w:right w:val="none" w:sz="0" w:space="0" w:color="auto"/>
          </w:divBdr>
        </w:div>
        <w:div w:id="244530760">
          <w:marLeft w:val="0"/>
          <w:marRight w:val="0"/>
          <w:marTop w:val="0"/>
          <w:marBottom w:val="0"/>
          <w:divBdr>
            <w:top w:val="none" w:sz="0" w:space="0" w:color="auto"/>
            <w:left w:val="none" w:sz="0" w:space="0" w:color="auto"/>
            <w:bottom w:val="none" w:sz="0" w:space="0" w:color="auto"/>
            <w:right w:val="none" w:sz="0" w:space="0" w:color="auto"/>
          </w:divBdr>
        </w:div>
      </w:divsChild>
    </w:div>
    <w:div w:id="2034573398">
      <w:bodyDiv w:val="1"/>
      <w:marLeft w:val="0"/>
      <w:marRight w:val="0"/>
      <w:marTop w:val="0"/>
      <w:marBottom w:val="0"/>
      <w:divBdr>
        <w:top w:val="none" w:sz="0" w:space="0" w:color="auto"/>
        <w:left w:val="none" w:sz="0" w:space="0" w:color="auto"/>
        <w:bottom w:val="none" w:sz="0" w:space="0" w:color="auto"/>
        <w:right w:val="none" w:sz="0" w:space="0" w:color="auto"/>
      </w:divBdr>
      <w:divsChild>
        <w:div w:id="684985963">
          <w:marLeft w:val="0"/>
          <w:marRight w:val="0"/>
          <w:marTop w:val="0"/>
          <w:marBottom w:val="0"/>
          <w:divBdr>
            <w:top w:val="none" w:sz="0" w:space="0" w:color="auto"/>
            <w:left w:val="none" w:sz="0" w:space="0" w:color="auto"/>
            <w:bottom w:val="none" w:sz="0" w:space="0" w:color="auto"/>
            <w:right w:val="none" w:sz="0" w:space="0" w:color="auto"/>
          </w:divBdr>
        </w:div>
        <w:div w:id="945426635">
          <w:marLeft w:val="0"/>
          <w:marRight w:val="0"/>
          <w:marTop w:val="0"/>
          <w:marBottom w:val="0"/>
          <w:divBdr>
            <w:top w:val="none" w:sz="0" w:space="0" w:color="auto"/>
            <w:left w:val="none" w:sz="0" w:space="0" w:color="auto"/>
            <w:bottom w:val="none" w:sz="0" w:space="0" w:color="auto"/>
            <w:right w:val="none" w:sz="0" w:space="0" w:color="auto"/>
          </w:divBdr>
        </w:div>
        <w:div w:id="1199511953">
          <w:marLeft w:val="0"/>
          <w:marRight w:val="0"/>
          <w:marTop w:val="0"/>
          <w:marBottom w:val="0"/>
          <w:divBdr>
            <w:top w:val="none" w:sz="0" w:space="0" w:color="auto"/>
            <w:left w:val="none" w:sz="0" w:space="0" w:color="auto"/>
            <w:bottom w:val="none" w:sz="0" w:space="0" w:color="auto"/>
            <w:right w:val="none" w:sz="0" w:space="0" w:color="auto"/>
          </w:divBdr>
        </w:div>
        <w:div w:id="1635986791">
          <w:marLeft w:val="0"/>
          <w:marRight w:val="0"/>
          <w:marTop w:val="0"/>
          <w:marBottom w:val="0"/>
          <w:divBdr>
            <w:top w:val="none" w:sz="0" w:space="0" w:color="auto"/>
            <w:left w:val="none" w:sz="0" w:space="0" w:color="auto"/>
            <w:bottom w:val="none" w:sz="0" w:space="0" w:color="auto"/>
            <w:right w:val="none" w:sz="0" w:space="0" w:color="auto"/>
          </w:divBdr>
        </w:div>
        <w:div w:id="1689334889">
          <w:marLeft w:val="0"/>
          <w:marRight w:val="0"/>
          <w:marTop w:val="0"/>
          <w:marBottom w:val="0"/>
          <w:divBdr>
            <w:top w:val="none" w:sz="0" w:space="0" w:color="auto"/>
            <w:left w:val="none" w:sz="0" w:space="0" w:color="auto"/>
            <w:bottom w:val="none" w:sz="0" w:space="0" w:color="auto"/>
            <w:right w:val="none" w:sz="0" w:space="0" w:color="auto"/>
          </w:divBdr>
        </w:div>
        <w:div w:id="616181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rdnerbusinesslaw@gmail.com" TargetMode="External"/><Relationship Id="rId13" Type="http://schemas.openxmlformats.org/officeDocument/2006/relationships/hyperlink" Target="http://www.DiamondMcCarthy.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tel:1-603-292-5212" TargetMode="External"/><Relationship Id="rId12" Type="http://schemas.openxmlformats.org/officeDocument/2006/relationships/hyperlink" Target="http://www.gtlaw.com"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cedillosm@gtlaw.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donaldson@spottsfain.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smallbizlawandbankruptcynh.com/" TargetMode="External"/><Relationship Id="rId14" Type="http://schemas.openxmlformats.org/officeDocument/2006/relationships/hyperlink" Target="mailto:john@smithandsmithpllc.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5801</Words>
  <Characters>33066</Characters>
  <Application>Microsoft Office Word</Application>
  <DocSecurity>4</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2014-06-04T15:20:00Z</dcterms:created>
  <dcterms:modified xsi:type="dcterms:W3CDTF">2014-06-04T15:20:00Z</dcterms:modified>
</cp:coreProperties>
</file>